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CC6" w:rsidRPr="001D0CC6" w:rsidRDefault="001D0CC6" w:rsidP="001D0CC6">
      <w:pPr>
        <w:jc w:val="both"/>
        <w:rPr>
          <w:rFonts w:asciiTheme="majorHAnsi" w:hAnsiTheme="majorHAnsi" w:cs="Arial"/>
          <w:b/>
          <w:bCs/>
          <w:szCs w:val="20"/>
        </w:rPr>
      </w:pPr>
      <w:r w:rsidRPr="001D0CC6">
        <w:rPr>
          <w:rFonts w:asciiTheme="majorHAnsi" w:hAnsiTheme="majorHAnsi" w:cs="Arial"/>
          <w:b/>
          <w:bCs/>
          <w:szCs w:val="20"/>
        </w:rPr>
        <w:t xml:space="preserve">NONINSTRUCTIONAL OPERATIONS </w:t>
      </w:r>
      <w:r>
        <w:rPr>
          <w:rFonts w:asciiTheme="majorHAnsi" w:hAnsiTheme="majorHAnsi" w:cs="Arial"/>
          <w:b/>
          <w:bCs/>
          <w:szCs w:val="20"/>
        </w:rPr>
        <w:tab/>
      </w:r>
      <w:r>
        <w:rPr>
          <w:rFonts w:asciiTheme="majorHAnsi" w:hAnsiTheme="majorHAnsi" w:cs="Arial"/>
          <w:b/>
          <w:bCs/>
          <w:szCs w:val="20"/>
        </w:rPr>
        <w:tab/>
      </w:r>
      <w:r>
        <w:rPr>
          <w:rFonts w:asciiTheme="majorHAnsi" w:hAnsiTheme="majorHAnsi" w:cs="Arial"/>
          <w:b/>
          <w:bCs/>
          <w:szCs w:val="20"/>
        </w:rPr>
        <w:tab/>
      </w:r>
      <w:r>
        <w:rPr>
          <w:rFonts w:asciiTheme="majorHAnsi" w:hAnsiTheme="majorHAnsi" w:cs="Arial"/>
          <w:b/>
          <w:bCs/>
          <w:szCs w:val="20"/>
        </w:rPr>
        <w:tab/>
      </w:r>
      <w:r>
        <w:rPr>
          <w:rFonts w:asciiTheme="majorHAnsi" w:hAnsiTheme="majorHAnsi" w:cs="Arial"/>
          <w:b/>
          <w:bCs/>
          <w:szCs w:val="20"/>
        </w:rPr>
        <w:tab/>
      </w:r>
      <w:r>
        <w:rPr>
          <w:rFonts w:asciiTheme="majorHAnsi" w:hAnsiTheme="majorHAnsi" w:cs="Arial"/>
          <w:b/>
          <w:bCs/>
          <w:szCs w:val="20"/>
        </w:rPr>
        <w:tab/>
      </w:r>
      <w:r>
        <w:rPr>
          <w:rFonts w:asciiTheme="majorHAnsi" w:hAnsiTheme="majorHAnsi" w:cs="Arial"/>
          <w:b/>
          <w:bCs/>
          <w:szCs w:val="20"/>
        </w:rPr>
        <w:tab/>
      </w:r>
      <w:r>
        <w:rPr>
          <w:rFonts w:asciiTheme="majorHAnsi" w:hAnsiTheme="majorHAnsi" w:cs="Arial"/>
          <w:b/>
          <w:bCs/>
          <w:szCs w:val="20"/>
        </w:rPr>
        <w:tab/>
      </w:r>
      <w:r w:rsidRPr="001D0CC6">
        <w:rPr>
          <w:rFonts w:asciiTheme="majorHAnsi" w:hAnsiTheme="majorHAnsi" w:cs="Arial"/>
          <w:b/>
          <w:bCs/>
          <w:szCs w:val="20"/>
        </w:rPr>
        <w:t>8225</w:t>
      </w:r>
    </w:p>
    <w:p w:rsidR="001D0CC6" w:rsidRDefault="001D0CC6" w:rsidP="001D0CC6">
      <w:pPr>
        <w:tabs>
          <w:tab w:val="right" w:pos="9360"/>
        </w:tabs>
        <w:jc w:val="both"/>
        <w:rPr>
          <w:rFonts w:asciiTheme="majorHAnsi" w:hAnsiTheme="majorHAnsi" w:cs="Arial"/>
          <w:b/>
          <w:bCs/>
          <w:i/>
          <w:szCs w:val="20"/>
          <w:u w:val="single"/>
        </w:rPr>
      </w:pPr>
    </w:p>
    <w:p w:rsidR="001D0CC6" w:rsidRPr="001D0CC6" w:rsidRDefault="001D0CC6" w:rsidP="001D0CC6">
      <w:pPr>
        <w:tabs>
          <w:tab w:val="right" w:pos="9360"/>
        </w:tabs>
        <w:jc w:val="both"/>
        <w:rPr>
          <w:rFonts w:asciiTheme="majorHAnsi" w:hAnsiTheme="majorHAnsi" w:cs="Arial"/>
          <w:b/>
          <w:bCs/>
          <w:szCs w:val="20"/>
          <w:u w:val="single"/>
        </w:rPr>
      </w:pPr>
      <w:r w:rsidRPr="001D0CC6">
        <w:rPr>
          <w:rFonts w:asciiTheme="majorHAnsi" w:hAnsiTheme="majorHAnsi" w:cs="Arial"/>
          <w:b/>
          <w:bCs/>
          <w:szCs w:val="20"/>
          <w:u w:val="single"/>
        </w:rPr>
        <w:t xml:space="preserve">Tobacco Free Policy </w:t>
      </w:r>
    </w:p>
    <w:p w:rsidR="001D0CC6" w:rsidRPr="001D0CC6" w:rsidRDefault="001D0CC6" w:rsidP="001D0CC6">
      <w:pPr>
        <w:tabs>
          <w:tab w:val="right" w:pos="9360"/>
        </w:tabs>
        <w:jc w:val="both"/>
        <w:rPr>
          <w:rFonts w:asciiTheme="majorHAnsi" w:hAnsiTheme="majorHAnsi" w:cs="Arial"/>
          <w:bCs/>
          <w:szCs w:val="20"/>
        </w:rPr>
      </w:pPr>
      <w:r w:rsidRPr="001D0CC6">
        <w:rPr>
          <w:rFonts w:asciiTheme="majorHAnsi" w:hAnsiTheme="majorHAnsi" w:cs="Arial"/>
          <w:bCs/>
          <w:szCs w:val="20"/>
        </w:rPr>
        <w:t>The District maintains tobacco-free buildings and grounds.  Tobacco includes but is not limited to cigarettes, cigars, snuff, smoking tobacco, smokeless tobacco, nicotine and any other tobacco innovation.</w:t>
      </w:r>
    </w:p>
    <w:p w:rsidR="001D0CC6" w:rsidRPr="001D0CC6" w:rsidRDefault="001D0CC6" w:rsidP="001D0CC6">
      <w:pPr>
        <w:tabs>
          <w:tab w:val="right" w:pos="9360"/>
        </w:tabs>
        <w:jc w:val="both"/>
        <w:rPr>
          <w:rFonts w:asciiTheme="majorHAnsi" w:hAnsiTheme="majorHAnsi" w:cs="Arial"/>
          <w:bCs/>
          <w:szCs w:val="20"/>
        </w:rPr>
      </w:pPr>
    </w:p>
    <w:p w:rsidR="001D0CC6" w:rsidRPr="001D0CC6" w:rsidRDefault="001D0CC6" w:rsidP="001D0CC6">
      <w:pPr>
        <w:tabs>
          <w:tab w:val="right" w:pos="9360"/>
        </w:tabs>
        <w:jc w:val="both"/>
        <w:rPr>
          <w:rFonts w:asciiTheme="majorHAnsi" w:hAnsiTheme="majorHAnsi" w:cs="Arial"/>
          <w:bCs/>
          <w:szCs w:val="20"/>
        </w:rPr>
      </w:pPr>
      <w:r w:rsidRPr="001D0CC6">
        <w:rPr>
          <w:rFonts w:asciiTheme="majorHAnsi" w:hAnsiTheme="majorHAnsi" w:cs="Arial"/>
          <w:bCs/>
          <w:szCs w:val="20"/>
        </w:rPr>
        <w:t>Use of tobacco products in a public school building or on public school property is prohibited, unless used in a classroom or on other school property as part of a lecture, demonstration, or educational forum sanctioned by a school administrator or faculty member, concerning the risks associated with using tobacco products or in connection with Native American cultural activities.</w:t>
      </w:r>
    </w:p>
    <w:p w:rsidR="001D0CC6" w:rsidRPr="001D0CC6" w:rsidRDefault="001D0CC6" w:rsidP="001D0CC6">
      <w:pPr>
        <w:tabs>
          <w:tab w:val="right" w:pos="9360"/>
        </w:tabs>
        <w:jc w:val="both"/>
        <w:rPr>
          <w:rFonts w:asciiTheme="majorHAnsi" w:hAnsiTheme="majorHAnsi" w:cs="Arial"/>
          <w:bCs/>
          <w:szCs w:val="20"/>
        </w:rPr>
      </w:pPr>
    </w:p>
    <w:p w:rsidR="001D0CC6" w:rsidRPr="001D0CC6" w:rsidRDefault="001D0CC6" w:rsidP="001D0CC6">
      <w:pPr>
        <w:tabs>
          <w:tab w:val="right" w:pos="9360"/>
        </w:tabs>
        <w:jc w:val="both"/>
        <w:rPr>
          <w:rFonts w:asciiTheme="majorHAnsi" w:hAnsiTheme="majorHAnsi" w:cs="Arial"/>
          <w:bCs/>
          <w:szCs w:val="20"/>
        </w:rPr>
      </w:pPr>
      <w:r w:rsidRPr="001D0CC6">
        <w:rPr>
          <w:rFonts w:asciiTheme="majorHAnsi" w:hAnsiTheme="majorHAnsi" w:cs="Arial"/>
          <w:bCs/>
          <w:szCs w:val="20"/>
        </w:rPr>
        <w:t>For the purpose of this policy, public school building or public school property means:</w:t>
      </w:r>
    </w:p>
    <w:p w:rsidR="001D0CC6" w:rsidRPr="001D0CC6" w:rsidRDefault="001D0CC6" w:rsidP="001D0CC6">
      <w:pPr>
        <w:tabs>
          <w:tab w:val="right" w:pos="9360"/>
        </w:tabs>
        <w:jc w:val="both"/>
        <w:rPr>
          <w:rFonts w:asciiTheme="majorHAnsi" w:hAnsiTheme="majorHAnsi" w:cs="Arial"/>
          <w:bCs/>
          <w:szCs w:val="20"/>
        </w:rPr>
      </w:pPr>
    </w:p>
    <w:p w:rsidR="001D0CC6" w:rsidRPr="001D0CC6" w:rsidRDefault="001D0CC6" w:rsidP="001D0CC6">
      <w:pPr>
        <w:pStyle w:val="ListParagraph"/>
        <w:numPr>
          <w:ilvl w:val="0"/>
          <w:numId w:val="2"/>
        </w:numPr>
        <w:tabs>
          <w:tab w:val="right" w:pos="9360"/>
        </w:tabs>
        <w:jc w:val="both"/>
        <w:rPr>
          <w:rFonts w:asciiTheme="majorHAnsi" w:hAnsiTheme="majorHAnsi" w:cs="Arial"/>
          <w:bCs/>
          <w:szCs w:val="20"/>
        </w:rPr>
      </w:pPr>
      <w:r w:rsidRPr="001D0CC6">
        <w:rPr>
          <w:rFonts w:asciiTheme="majorHAnsi" w:hAnsiTheme="majorHAnsi" w:cs="Arial"/>
          <w:bCs/>
          <w:szCs w:val="20"/>
        </w:rPr>
        <w:t>Public land, fixtures, buildings or other property owned or occupied by an institution for the teaching of minor children, established and maintained under the laws of the state of Montana at public expense; and</w:t>
      </w:r>
    </w:p>
    <w:p w:rsidR="001D0CC6" w:rsidRPr="001D0CC6" w:rsidRDefault="001D0CC6" w:rsidP="001D0CC6">
      <w:pPr>
        <w:tabs>
          <w:tab w:val="right" w:pos="9360"/>
        </w:tabs>
        <w:ind w:left="720"/>
        <w:jc w:val="both"/>
        <w:rPr>
          <w:rFonts w:asciiTheme="majorHAnsi" w:hAnsiTheme="majorHAnsi" w:cs="Arial"/>
          <w:bCs/>
          <w:szCs w:val="20"/>
        </w:rPr>
      </w:pPr>
    </w:p>
    <w:p w:rsidR="001D0CC6" w:rsidRPr="001D0CC6" w:rsidRDefault="001D0CC6" w:rsidP="001D0CC6">
      <w:pPr>
        <w:pStyle w:val="ListParagraph"/>
        <w:numPr>
          <w:ilvl w:val="0"/>
          <w:numId w:val="2"/>
        </w:numPr>
        <w:tabs>
          <w:tab w:val="right" w:pos="9360"/>
        </w:tabs>
        <w:jc w:val="both"/>
        <w:rPr>
          <w:rFonts w:asciiTheme="majorHAnsi" w:hAnsiTheme="majorHAnsi" w:cs="Arial"/>
          <w:bCs/>
          <w:szCs w:val="20"/>
        </w:rPr>
      </w:pPr>
      <w:r w:rsidRPr="001D0CC6">
        <w:rPr>
          <w:rFonts w:asciiTheme="majorHAnsi" w:hAnsiTheme="majorHAnsi" w:cs="Arial"/>
          <w:bCs/>
          <w:szCs w:val="20"/>
        </w:rPr>
        <w:t>Includes playgrounds, school steps, parking lots, administration buildings, athletic facilities, gymnasiums, locker rooms and school vehicles</w:t>
      </w:r>
    </w:p>
    <w:p w:rsidR="001D0CC6" w:rsidRPr="001D0CC6" w:rsidRDefault="001D0CC6" w:rsidP="001D0CC6">
      <w:pPr>
        <w:tabs>
          <w:tab w:val="right" w:pos="9360"/>
        </w:tabs>
        <w:ind w:left="720"/>
        <w:jc w:val="both"/>
        <w:rPr>
          <w:rFonts w:asciiTheme="majorHAnsi" w:hAnsiTheme="majorHAnsi" w:cs="Arial"/>
          <w:bCs/>
          <w:szCs w:val="20"/>
        </w:rPr>
      </w:pPr>
    </w:p>
    <w:p w:rsidR="001D0CC6" w:rsidRPr="001D0CC6" w:rsidRDefault="001D0CC6" w:rsidP="001D0CC6">
      <w:pPr>
        <w:tabs>
          <w:tab w:val="right" w:pos="9360"/>
        </w:tabs>
        <w:jc w:val="both"/>
        <w:rPr>
          <w:rFonts w:asciiTheme="majorHAnsi" w:hAnsiTheme="majorHAnsi" w:cs="Arial"/>
          <w:bCs/>
          <w:szCs w:val="20"/>
        </w:rPr>
      </w:pPr>
      <w:r w:rsidRPr="001D0CC6">
        <w:rPr>
          <w:rFonts w:asciiTheme="majorHAnsi" w:hAnsiTheme="majorHAnsi" w:cs="Arial"/>
          <w:bCs/>
          <w:szCs w:val="20"/>
        </w:rPr>
        <w:t>Violations of the policy by students and staff will be subject to actions outlined in District discipline policies.</w:t>
      </w:r>
    </w:p>
    <w:p w:rsidR="001D0CC6" w:rsidRPr="001D0CC6" w:rsidRDefault="001D0CC6" w:rsidP="001D0CC6">
      <w:pPr>
        <w:tabs>
          <w:tab w:val="right" w:pos="9360"/>
        </w:tabs>
        <w:jc w:val="both"/>
        <w:rPr>
          <w:rFonts w:asciiTheme="majorHAnsi" w:hAnsiTheme="majorHAnsi" w:cs="Arial"/>
          <w:bCs/>
          <w:szCs w:val="20"/>
        </w:rPr>
      </w:pPr>
    </w:p>
    <w:p w:rsidR="001D0CC6" w:rsidRPr="001D0CC6" w:rsidRDefault="001D0CC6" w:rsidP="001D0CC6">
      <w:pPr>
        <w:tabs>
          <w:tab w:val="right" w:pos="9360"/>
        </w:tabs>
        <w:jc w:val="both"/>
        <w:rPr>
          <w:rFonts w:asciiTheme="majorHAnsi" w:hAnsiTheme="majorHAnsi" w:cs="Arial"/>
          <w:bCs/>
          <w:szCs w:val="20"/>
        </w:rPr>
      </w:pPr>
    </w:p>
    <w:p w:rsidR="001D0CC6" w:rsidRDefault="001D0CC6" w:rsidP="001D0CC6">
      <w:pPr>
        <w:tabs>
          <w:tab w:val="right" w:pos="9360"/>
        </w:tabs>
        <w:jc w:val="both"/>
        <w:rPr>
          <w:rFonts w:asciiTheme="majorHAnsi" w:hAnsiTheme="majorHAnsi" w:cs="Arial"/>
          <w:b/>
          <w:bCs/>
          <w:szCs w:val="20"/>
        </w:rPr>
      </w:pPr>
    </w:p>
    <w:p w:rsidR="001D0CC6" w:rsidRDefault="001D0CC6" w:rsidP="001D0CC6">
      <w:pPr>
        <w:tabs>
          <w:tab w:val="right" w:pos="9360"/>
        </w:tabs>
        <w:jc w:val="both"/>
        <w:rPr>
          <w:rFonts w:asciiTheme="majorHAnsi" w:hAnsiTheme="majorHAnsi" w:cs="Arial"/>
          <w:b/>
          <w:bCs/>
          <w:szCs w:val="20"/>
        </w:rPr>
      </w:pPr>
    </w:p>
    <w:p w:rsidR="001D0CC6" w:rsidRDefault="001D0CC6" w:rsidP="001D0CC6">
      <w:pPr>
        <w:tabs>
          <w:tab w:val="right" w:pos="9360"/>
        </w:tabs>
        <w:jc w:val="both"/>
        <w:rPr>
          <w:rFonts w:asciiTheme="majorHAnsi" w:hAnsiTheme="majorHAnsi" w:cs="Arial"/>
          <w:b/>
          <w:bCs/>
          <w:szCs w:val="20"/>
        </w:rPr>
      </w:pPr>
    </w:p>
    <w:p w:rsidR="001D0CC6" w:rsidRDefault="001D0CC6" w:rsidP="001D0CC6">
      <w:pPr>
        <w:tabs>
          <w:tab w:val="right" w:pos="9360"/>
        </w:tabs>
        <w:jc w:val="both"/>
        <w:rPr>
          <w:rFonts w:asciiTheme="majorHAnsi" w:hAnsiTheme="majorHAnsi" w:cs="Arial"/>
          <w:b/>
          <w:bCs/>
          <w:szCs w:val="20"/>
        </w:rPr>
      </w:pPr>
    </w:p>
    <w:p w:rsidR="001D0CC6" w:rsidRDefault="001D0CC6" w:rsidP="001D0CC6">
      <w:pPr>
        <w:tabs>
          <w:tab w:val="right" w:pos="9360"/>
        </w:tabs>
        <w:jc w:val="both"/>
        <w:rPr>
          <w:rFonts w:asciiTheme="majorHAnsi" w:hAnsiTheme="majorHAnsi" w:cs="Arial"/>
          <w:b/>
          <w:bCs/>
          <w:szCs w:val="20"/>
        </w:rPr>
      </w:pPr>
    </w:p>
    <w:p w:rsidR="001D0CC6" w:rsidRDefault="001D0CC6" w:rsidP="001D0CC6">
      <w:pPr>
        <w:tabs>
          <w:tab w:val="right" w:pos="9360"/>
        </w:tabs>
        <w:jc w:val="both"/>
        <w:rPr>
          <w:rFonts w:asciiTheme="majorHAnsi" w:hAnsiTheme="majorHAnsi" w:cs="Arial"/>
          <w:b/>
          <w:bCs/>
          <w:szCs w:val="20"/>
        </w:rPr>
      </w:pPr>
    </w:p>
    <w:p w:rsidR="001D0CC6" w:rsidRDefault="001D0CC6" w:rsidP="001D0CC6">
      <w:pPr>
        <w:tabs>
          <w:tab w:val="right" w:pos="9360"/>
        </w:tabs>
        <w:jc w:val="both"/>
        <w:rPr>
          <w:rFonts w:asciiTheme="majorHAnsi" w:hAnsiTheme="majorHAnsi" w:cs="Arial"/>
          <w:b/>
          <w:bCs/>
          <w:szCs w:val="20"/>
        </w:rPr>
      </w:pPr>
    </w:p>
    <w:p w:rsidR="001D0CC6" w:rsidRDefault="001D0CC6" w:rsidP="001D0CC6">
      <w:pPr>
        <w:tabs>
          <w:tab w:val="right" w:pos="9360"/>
        </w:tabs>
        <w:jc w:val="both"/>
        <w:rPr>
          <w:rFonts w:asciiTheme="majorHAnsi" w:hAnsiTheme="majorHAnsi" w:cs="Arial"/>
          <w:b/>
          <w:bCs/>
          <w:szCs w:val="20"/>
        </w:rPr>
      </w:pPr>
    </w:p>
    <w:p w:rsidR="001D0CC6" w:rsidRDefault="001D0CC6" w:rsidP="001D0CC6">
      <w:pPr>
        <w:tabs>
          <w:tab w:val="right" w:pos="9360"/>
        </w:tabs>
        <w:jc w:val="both"/>
        <w:rPr>
          <w:rFonts w:asciiTheme="majorHAnsi" w:hAnsiTheme="majorHAnsi" w:cs="Arial"/>
          <w:b/>
          <w:bCs/>
          <w:szCs w:val="20"/>
        </w:rPr>
      </w:pPr>
    </w:p>
    <w:p w:rsidR="001D0CC6" w:rsidRDefault="001D0CC6" w:rsidP="001D0CC6">
      <w:pPr>
        <w:tabs>
          <w:tab w:val="right" w:pos="9360"/>
        </w:tabs>
        <w:jc w:val="both"/>
        <w:rPr>
          <w:rFonts w:asciiTheme="majorHAnsi" w:hAnsiTheme="majorHAnsi" w:cs="Arial"/>
          <w:b/>
          <w:bCs/>
          <w:szCs w:val="20"/>
        </w:rPr>
      </w:pPr>
    </w:p>
    <w:p w:rsidR="001D0CC6" w:rsidRDefault="001D0CC6" w:rsidP="001D0CC6">
      <w:pPr>
        <w:tabs>
          <w:tab w:val="right" w:pos="9360"/>
        </w:tabs>
        <w:jc w:val="both"/>
        <w:rPr>
          <w:rFonts w:asciiTheme="majorHAnsi" w:hAnsiTheme="majorHAnsi" w:cs="Arial"/>
          <w:b/>
          <w:bCs/>
          <w:szCs w:val="20"/>
        </w:rPr>
      </w:pPr>
    </w:p>
    <w:p w:rsidR="001D0CC6" w:rsidRDefault="001D0CC6" w:rsidP="001D0CC6">
      <w:pPr>
        <w:tabs>
          <w:tab w:val="right" w:pos="9360"/>
        </w:tabs>
        <w:jc w:val="both"/>
        <w:rPr>
          <w:rFonts w:asciiTheme="majorHAnsi" w:hAnsiTheme="majorHAnsi" w:cs="Arial"/>
          <w:b/>
          <w:bCs/>
          <w:szCs w:val="20"/>
        </w:rPr>
      </w:pPr>
    </w:p>
    <w:p w:rsidR="001D0CC6" w:rsidRDefault="001D0CC6" w:rsidP="001D0CC6">
      <w:pPr>
        <w:tabs>
          <w:tab w:val="right" w:pos="9360"/>
        </w:tabs>
        <w:jc w:val="both"/>
        <w:rPr>
          <w:rFonts w:asciiTheme="majorHAnsi" w:hAnsiTheme="majorHAnsi" w:cs="Arial"/>
          <w:b/>
          <w:bCs/>
          <w:szCs w:val="20"/>
        </w:rPr>
      </w:pPr>
    </w:p>
    <w:p w:rsidR="001D0CC6" w:rsidRDefault="001D0CC6" w:rsidP="001D0CC6">
      <w:pPr>
        <w:tabs>
          <w:tab w:val="right" w:pos="9360"/>
        </w:tabs>
        <w:jc w:val="both"/>
        <w:rPr>
          <w:rFonts w:asciiTheme="majorHAnsi" w:hAnsiTheme="majorHAnsi" w:cs="Arial"/>
          <w:b/>
          <w:bCs/>
          <w:szCs w:val="20"/>
        </w:rPr>
      </w:pPr>
    </w:p>
    <w:p w:rsidR="004259E0" w:rsidRDefault="004259E0" w:rsidP="001D0CC6">
      <w:pPr>
        <w:tabs>
          <w:tab w:val="right" w:pos="9360"/>
        </w:tabs>
        <w:jc w:val="both"/>
        <w:rPr>
          <w:rFonts w:asciiTheme="majorHAnsi" w:hAnsiTheme="majorHAnsi" w:cs="Arial"/>
          <w:b/>
          <w:bCs/>
          <w:szCs w:val="20"/>
        </w:rPr>
      </w:pPr>
      <w:bookmarkStart w:id="0" w:name="_GoBack"/>
      <w:bookmarkEnd w:id="0"/>
    </w:p>
    <w:p w:rsidR="001D0CC6" w:rsidRDefault="001D0CC6" w:rsidP="001D0CC6">
      <w:pPr>
        <w:tabs>
          <w:tab w:val="right" w:pos="9360"/>
        </w:tabs>
        <w:jc w:val="both"/>
        <w:rPr>
          <w:rFonts w:asciiTheme="majorHAnsi" w:hAnsiTheme="majorHAnsi" w:cs="Arial"/>
          <w:b/>
          <w:bCs/>
          <w:szCs w:val="20"/>
        </w:rPr>
      </w:pPr>
    </w:p>
    <w:p w:rsidR="001D0CC6" w:rsidRDefault="001D0CC6" w:rsidP="001D0CC6">
      <w:pPr>
        <w:tabs>
          <w:tab w:val="right" w:pos="9360"/>
        </w:tabs>
        <w:jc w:val="both"/>
        <w:rPr>
          <w:rFonts w:asciiTheme="majorHAnsi" w:hAnsiTheme="majorHAnsi" w:cs="Arial"/>
          <w:b/>
          <w:bCs/>
          <w:szCs w:val="20"/>
        </w:rPr>
      </w:pPr>
    </w:p>
    <w:p w:rsidR="001D0CC6" w:rsidRDefault="001D0CC6" w:rsidP="001D0CC6">
      <w:pPr>
        <w:tabs>
          <w:tab w:val="right" w:pos="9360"/>
        </w:tabs>
        <w:jc w:val="both"/>
        <w:rPr>
          <w:rFonts w:asciiTheme="majorHAnsi" w:hAnsiTheme="majorHAnsi" w:cs="Arial"/>
          <w:b/>
          <w:bCs/>
          <w:szCs w:val="20"/>
        </w:rPr>
      </w:pPr>
    </w:p>
    <w:p w:rsidR="001D0CC6" w:rsidRDefault="001D0CC6" w:rsidP="001D0CC6">
      <w:pPr>
        <w:tabs>
          <w:tab w:val="right" w:pos="9360"/>
        </w:tabs>
        <w:jc w:val="both"/>
        <w:rPr>
          <w:rFonts w:asciiTheme="majorHAnsi" w:hAnsiTheme="majorHAnsi" w:cs="Arial"/>
          <w:b/>
          <w:bCs/>
          <w:szCs w:val="20"/>
        </w:rPr>
      </w:pPr>
    </w:p>
    <w:p w:rsidR="001D0CC6" w:rsidRDefault="001D0CC6" w:rsidP="001D0CC6">
      <w:pPr>
        <w:ind w:left="2880" w:hanging="2880"/>
        <w:jc w:val="both"/>
        <w:rPr>
          <w:rFonts w:asciiTheme="majorHAnsi" w:hAnsiTheme="majorHAnsi" w:cs="Arial"/>
          <w:bCs/>
          <w:szCs w:val="20"/>
        </w:rPr>
      </w:pPr>
      <w:r w:rsidRPr="001D0CC6">
        <w:rPr>
          <w:rFonts w:asciiTheme="majorHAnsi" w:hAnsiTheme="majorHAnsi" w:cs="Arial"/>
          <w:b/>
          <w:bCs/>
          <w:szCs w:val="20"/>
        </w:rPr>
        <w:t>Legal Reference:</w:t>
      </w:r>
      <w:r>
        <w:rPr>
          <w:rFonts w:asciiTheme="majorHAnsi" w:hAnsiTheme="majorHAnsi" w:cs="Arial"/>
          <w:bCs/>
          <w:szCs w:val="20"/>
        </w:rPr>
        <w:tab/>
        <w:t>§</w:t>
      </w:r>
      <w:r w:rsidRPr="001D0CC6">
        <w:rPr>
          <w:rFonts w:asciiTheme="majorHAnsi" w:hAnsiTheme="majorHAnsi" w:cs="Arial"/>
          <w:bCs/>
          <w:szCs w:val="20"/>
        </w:rPr>
        <w:t>20-1-220 MCA</w:t>
      </w:r>
      <w:r>
        <w:rPr>
          <w:rFonts w:asciiTheme="majorHAnsi" w:hAnsiTheme="majorHAnsi" w:cs="Arial"/>
          <w:bCs/>
          <w:szCs w:val="20"/>
        </w:rPr>
        <w:tab/>
      </w:r>
      <w:r>
        <w:rPr>
          <w:rFonts w:asciiTheme="majorHAnsi" w:hAnsiTheme="majorHAnsi" w:cs="Arial"/>
          <w:bCs/>
          <w:szCs w:val="20"/>
        </w:rPr>
        <w:tab/>
      </w:r>
      <w:r w:rsidRPr="001D0CC6">
        <w:rPr>
          <w:rFonts w:asciiTheme="majorHAnsi" w:hAnsiTheme="majorHAnsi" w:cs="Arial"/>
          <w:bCs/>
          <w:szCs w:val="20"/>
        </w:rPr>
        <w:t>Use of tobacco pro</w:t>
      </w:r>
      <w:r>
        <w:rPr>
          <w:rFonts w:asciiTheme="majorHAnsi" w:hAnsiTheme="majorHAnsi" w:cs="Arial"/>
          <w:bCs/>
          <w:szCs w:val="20"/>
        </w:rPr>
        <w:t>ducts in public school building prohibited</w:t>
      </w:r>
    </w:p>
    <w:p w:rsidR="001D0CC6" w:rsidRDefault="001D0CC6" w:rsidP="001D0CC6">
      <w:pPr>
        <w:tabs>
          <w:tab w:val="right" w:pos="9360"/>
        </w:tabs>
        <w:ind w:left="5040" w:hanging="2160"/>
        <w:jc w:val="both"/>
        <w:rPr>
          <w:rFonts w:asciiTheme="majorHAnsi" w:hAnsiTheme="majorHAnsi" w:cs="Arial"/>
          <w:bCs/>
          <w:szCs w:val="20"/>
        </w:rPr>
      </w:pPr>
      <w:r>
        <w:rPr>
          <w:rFonts w:asciiTheme="majorHAnsi" w:hAnsiTheme="majorHAnsi" w:cs="Arial"/>
          <w:bCs/>
          <w:szCs w:val="20"/>
        </w:rPr>
        <w:t>§</w:t>
      </w:r>
      <w:r w:rsidRPr="001D0CC6">
        <w:rPr>
          <w:rFonts w:asciiTheme="majorHAnsi" w:hAnsiTheme="majorHAnsi" w:cs="Arial"/>
          <w:bCs/>
          <w:szCs w:val="20"/>
        </w:rPr>
        <w:t>50-40-101 MCA</w:t>
      </w:r>
      <w:r>
        <w:rPr>
          <w:rFonts w:asciiTheme="majorHAnsi" w:hAnsiTheme="majorHAnsi" w:cs="Arial"/>
          <w:bCs/>
          <w:szCs w:val="20"/>
        </w:rPr>
        <w:tab/>
      </w:r>
    </w:p>
    <w:p w:rsidR="001D0CC6" w:rsidRPr="001D0CC6" w:rsidRDefault="001D0CC6" w:rsidP="001D0CC6">
      <w:pPr>
        <w:ind w:left="2250" w:firstLine="630"/>
        <w:jc w:val="both"/>
        <w:rPr>
          <w:rFonts w:asciiTheme="majorHAnsi" w:hAnsiTheme="majorHAnsi" w:cs="Arial"/>
          <w:bCs/>
          <w:szCs w:val="20"/>
        </w:rPr>
      </w:pPr>
      <w:r>
        <w:rPr>
          <w:rFonts w:asciiTheme="majorHAnsi" w:hAnsiTheme="majorHAnsi" w:cs="Arial"/>
          <w:bCs/>
          <w:szCs w:val="20"/>
        </w:rPr>
        <w:t>ARM 37.111.825</w:t>
      </w:r>
      <w:r>
        <w:rPr>
          <w:rFonts w:asciiTheme="majorHAnsi" w:hAnsiTheme="majorHAnsi" w:cs="Arial"/>
          <w:bCs/>
          <w:szCs w:val="20"/>
        </w:rPr>
        <w:tab/>
      </w:r>
      <w:r>
        <w:rPr>
          <w:rFonts w:asciiTheme="majorHAnsi" w:hAnsiTheme="majorHAnsi" w:cs="Arial"/>
          <w:bCs/>
          <w:szCs w:val="20"/>
        </w:rPr>
        <w:tab/>
      </w:r>
      <w:r w:rsidRPr="001D0CC6">
        <w:rPr>
          <w:rFonts w:asciiTheme="majorHAnsi" w:hAnsiTheme="majorHAnsi" w:cs="Arial"/>
          <w:bCs/>
          <w:szCs w:val="20"/>
        </w:rPr>
        <w:t>Montana Clean Indoor Air Act of 1979</w:t>
      </w:r>
    </w:p>
    <w:p w:rsidR="001D0CC6" w:rsidRPr="001D0CC6" w:rsidRDefault="001D0CC6" w:rsidP="001D0CC6">
      <w:pPr>
        <w:jc w:val="both"/>
        <w:rPr>
          <w:rFonts w:asciiTheme="majorHAnsi" w:hAnsiTheme="majorHAnsi" w:cs="Arial"/>
          <w:bCs/>
          <w:szCs w:val="20"/>
        </w:rPr>
      </w:pPr>
    </w:p>
    <w:p w:rsidR="001D0CC6" w:rsidRPr="001D0CC6" w:rsidRDefault="001D0CC6" w:rsidP="001D0CC6">
      <w:pPr>
        <w:jc w:val="both"/>
        <w:rPr>
          <w:rFonts w:asciiTheme="majorHAnsi" w:hAnsiTheme="majorHAnsi" w:cs="Arial"/>
          <w:bCs/>
          <w:szCs w:val="20"/>
        </w:rPr>
      </w:pPr>
    </w:p>
    <w:p w:rsidR="001D0CC6" w:rsidRPr="001D0CC6" w:rsidRDefault="001D0CC6" w:rsidP="001D0CC6">
      <w:pPr>
        <w:jc w:val="both"/>
        <w:rPr>
          <w:rFonts w:asciiTheme="majorHAnsi" w:hAnsiTheme="majorHAnsi" w:cs="Arial"/>
          <w:bCs/>
          <w:szCs w:val="20"/>
        </w:rPr>
      </w:pPr>
    </w:p>
    <w:p w:rsidR="001D0CC6" w:rsidRPr="001D0CC6" w:rsidRDefault="001D0CC6" w:rsidP="001D0CC6">
      <w:pPr>
        <w:jc w:val="both"/>
        <w:rPr>
          <w:rFonts w:asciiTheme="majorHAnsi" w:hAnsiTheme="majorHAnsi" w:cs="Arial"/>
          <w:bCs/>
          <w:szCs w:val="20"/>
        </w:rPr>
      </w:pPr>
    </w:p>
    <w:p w:rsidR="001D0CC6" w:rsidRPr="001D0CC6" w:rsidRDefault="001D0CC6" w:rsidP="001D0CC6">
      <w:pPr>
        <w:jc w:val="both"/>
        <w:rPr>
          <w:rFonts w:asciiTheme="majorHAnsi" w:hAnsiTheme="majorHAnsi" w:cs="Arial"/>
          <w:bCs/>
          <w:szCs w:val="20"/>
        </w:rPr>
      </w:pPr>
    </w:p>
    <w:p w:rsidR="001D0CC6" w:rsidRPr="001D0CC6" w:rsidRDefault="001D0CC6" w:rsidP="001D0CC6">
      <w:pPr>
        <w:jc w:val="both"/>
        <w:rPr>
          <w:rFonts w:asciiTheme="majorHAnsi" w:hAnsiTheme="majorHAnsi" w:cs="Arial"/>
          <w:bCs/>
          <w:szCs w:val="20"/>
        </w:rPr>
      </w:pPr>
    </w:p>
    <w:p w:rsidR="001D0CC6" w:rsidRPr="001D0CC6" w:rsidRDefault="001D0CC6" w:rsidP="001D0CC6">
      <w:pPr>
        <w:jc w:val="both"/>
        <w:rPr>
          <w:rFonts w:asciiTheme="majorHAnsi" w:hAnsiTheme="majorHAnsi" w:cs="Arial"/>
          <w:bCs/>
          <w:szCs w:val="20"/>
          <w:u w:val="single"/>
        </w:rPr>
      </w:pPr>
      <w:r w:rsidRPr="001D0CC6">
        <w:rPr>
          <w:rFonts w:asciiTheme="majorHAnsi" w:hAnsiTheme="majorHAnsi" w:cs="Arial"/>
          <w:bCs/>
          <w:szCs w:val="20"/>
          <w:u w:val="single"/>
        </w:rPr>
        <w:t>Policy History:</w:t>
      </w:r>
    </w:p>
    <w:p w:rsidR="001D0CC6" w:rsidRPr="001D0CC6" w:rsidRDefault="001D0CC6" w:rsidP="001D0CC6">
      <w:pPr>
        <w:jc w:val="both"/>
        <w:rPr>
          <w:rFonts w:asciiTheme="majorHAnsi" w:hAnsiTheme="majorHAnsi" w:cs="Arial"/>
          <w:bCs/>
          <w:szCs w:val="20"/>
        </w:rPr>
      </w:pPr>
      <w:r w:rsidRPr="001D0CC6">
        <w:rPr>
          <w:rFonts w:asciiTheme="majorHAnsi" w:hAnsiTheme="majorHAnsi" w:cs="Arial"/>
          <w:bCs/>
          <w:szCs w:val="20"/>
        </w:rPr>
        <w:t>Adopted on:</w:t>
      </w:r>
    </w:p>
    <w:p w:rsidR="008529EA" w:rsidRPr="001D0CC6" w:rsidRDefault="001D0CC6" w:rsidP="001D0CC6">
      <w:pPr>
        <w:jc w:val="both"/>
        <w:rPr>
          <w:rFonts w:asciiTheme="majorHAnsi" w:hAnsiTheme="majorHAnsi" w:cs="Arial"/>
          <w:bCs/>
          <w:szCs w:val="20"/>
        </w:rPr>
      </w:pPr>
      <w:r w:rsidRPr="001D0CC6">
        <w:rPr>
          <w:rFonts w:asciiTheme="majorHAnsi" w:hAnsiTheme="majorHAnsi" w:cs="Arial"/>
          <w:bCs/>
          <w:szCs w:val="20"/>
        </w:rPr>
        <w:t>Revised on:</w:t>
      </w:r>
    </w:p>
    <w:sectPr w:rsidR="008529EA" w:rsidRPr="001D0C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ettrGoth12 BT">
    <w:altName w:val="Lucida Console"/>
    <w:charset w:val="00"/>
    <w:family w:val="modern"/>
    <w:pitch w:val="fixed"/>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955F3"/>
    <w:multiLevelType w:val="hybridMultilevel"/>
    <w:tmpl w:val="1728A506"/>
    <w:lvl w:ilvl="0" w:tplc="04090001">
      <w:start w:val="1"/>
      <w:numFmt w:val="bullet"/>
      <w:lvlText w:val=""/>
      <w:lvlJc w:val="left"/>
      <w:pPr>
        <w:ind w:left="9720" w:hanging="360"/>
      </w:pPr>
      <w:rPr>
        <w:rFonts w:ascii="Symbol" w:hAnsi="Symbol" w:hint="default"/>
      </w:rPr>
    </w:lvl>
    <w:lvl w:ilvl="1" w:tplc="04090003" w:tentative="1">
      <w:start w:val="1"/>
      <w:numFmt w:val="bullet"/>
      <w:lvlText w:val="o"/>
      <w:lvlJc w:val="left"/>
      <w:pPr>
        <w:ind w:left="10800" w:hanging="360"/>
      </w:pPr>
      <w:rPr>
        <w:rFonts w:ascii="Courier New" w:hAnsi="Courier New" w:cs="Courier New" w:hint="default"/>
      </w:rPr>
    </w:lvl>
    <w:lvl w:ilvl="2" w:tplc="04090005" w:tentative="1">
      <w:start w:val="1"/>
      <w:numFmt w:val="bullet"/>
      <w:lvlText w:val=""/>
      <w:lvlJc w:val="left"/>
      <w:pPr>
        <w:ind w:left="11520" w:hanging="360"/>
      </w:pPr>
      <w:rPr>
        <w:rFonts w:ascii="Wingdings" w:hAnsi="Wingdings" w:hint="default"/>
      </w:rPr>
    </w:lvl>
    <w:lvl w:ilvl="3" w:tplc="04090001" w:tentative="1">
      <w:start w:val="1"/>
      <w:numFmt w:val="bullet"/>
      <w:lvlText w:val=""/>
      <w:lvlJc w:val="left"/>
      <w:pPr>
        <w:ind w:left="12240" w:hanging="360"/>
      </w:pPr>
      <w:rPr>
        <w:rFonts w:ascii="Symbol" w:hAnsi="Symbol" w:hint="default"/>
      </w:rPr>
    </w:lvl>
    <w:lvl w:ilvl="4" w:tplc="04090003" w:tentative="1">
      <w:start w:val="1"/>
      <w:numFmt w:val="bullet"/>
      <w:lvlText w:val="o"/>
      <w:lvlJc w:val="left"/>
      <w:pPr>
        <w:ind w:left="12960" w:hanging="360"/>
      </w:pPr>
      <w:rPr>
        <w:rFonts w:ascii="Courier New" w:hAnsi="Courier New" w:cs="Courier New" w:hint="default"/>
      </w:rPr>
    </w:lvl>
    <w:lvl w:ilvl="5" w:tplc="04090005" w:tentative="1">
      <w:start w:val="1"/>
      <w:numFmt w:val="bullet"/>
      <w:lvlText w:val=""/>
      <w:lvlJc w:val="left"/>
      <w:pPr>
        <w:ind w:left="13680" w:hanging="360"/>
      </w:pPr>
      <w:rPr>
        <w:rFonts w:ascii="Wingdings" w:hAnsi="Wingdings" w:hint="default"/>
      </w:rPr>
    </w:lvl>
    <w:lvl w:ilvl="6" w:tplc="04090001" w:tentative="1">
      <w:start w:val="1"/>
      <w:numFmt w:val="bullet"/>
      <w:lvlText w:val=""/>
      <w:lvlJc w:val="left"/>
      <w:pPr>
        <w:ind w:left="14400" w:hanging="360"/>
      </w:pPr>
      <w:rPr>
        <w:rFonts w:ascii="Symbol" w:hAnsi="Symbol" w:hint="default"/>
      </w:rPr>
    </w:lvl>
    <w:lvl w:ilvl="7" w:tplc="04090003" w:tentative="1">
      <w:start w:val="1"/>
      <w:numFmt w:val="bullet"/>
      <w:lvlText w:val="o"/>
      <w:lvlJc w:val="left"/>
      <w:pPr>
        <w:ind w:left="15120" w:hanging="360"/>
      </w:pPr>
      <w:rPr>
        <w:rFonts w:ascii="Courier New" w:hAnsi="Courier New" w:cs="Courier New" w:hint="default"/>
      </w:rPr>
    </w:lvl>
    <w:lvl w:ilvl="8" w:tplc="04090005" w:tentative="1">
      <w:start w:val="1"/>
      <w:numFmt w:val="bullet"/>
      <w:lvlText w:val=""/>
      <w:lvlJc w:val="left"/>
      <w:pPr>
        <w:ind w:left="15840" w:hanging="360"/>
      </w:pPr>
      <w:rPr>
        <w:rFonts w:ascii="Wingdings" w:hAnsi="Wingdings" w:hint="default"/>
      </w:rPr>
    </w:lvl>
  </w:abstractNum>
  <w:abstractNum w:abstractNumId="1">
    <w:nsid w:val="71AF26B9"/>
    <w:multiLevelType w:val="hybridMultilevel"/>
    <w:tmpl w:val="76866A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CC6"/>
    <w:rsid w:val="00140D55"/>
    <w:rsid w:val="001D0CC6"/>
    <w:rsid w:val="00293F9C"/>
    <w:rsid w:val="00425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CC6"/>
    <w:pPr>
      <w:widowControl w:val="0"/>
      <w:autoSpaceDE w:val="0"/>
      <w:autoSpaceDN w:val="0"/>
      <w:adjustRightInd w:val="0"/>
      <w:spacing w:after="0" w:line="240" w:lineRule="auto"/>
    </w:pPr>
    <w:rPr>
      <w:rFonts w:ascii="LettrGoth12 BT" w:eastAsia="Times New Roman" w:hAnsi="LettrGoth12 BT"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C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CC6"/>
    <w:pPr>
      <w:widowControl w:val="0"/>
      <w:autoSpaceDE w:val="0"/>
      <w:autoSpaceDN w:val="0"/>
      <w:adjustRightInd w:val="0"/>
      <w:spacing w:after="0" w:line="240" w:lineRule="auto"/>
    </w:pPr>
    <w:rPr>
      <w:rFonts w:ascii="LettrGoth12 BT" w:eastAsia="Times New Roman" w:hAnsi="LettrGoth12 BT"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C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Schenk</dc:creator>
  <cp:lastModifiedBy>Schenk</cp:lastModifiedBy>
  <cp:revision>2</cp:revision>
  <dcterms:created xsi:type="dcterms:W3CDTF">2019-07-23T22:36:00Z</dcterms:created>
  <dcterms:modified xsi:type="dcterms:W3CDTF">2019-08-10T23:24:00Z</dcterms:modified>
</cp:coreProperties>
</file>