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  <w:r w:rsidRPr="005D527C">
        <w:rPr>
          <w:rFonts w:asciiTheme="majorHAnsi" w:hAnsiTheme="majorHAnsi" w:cs="Arial"/>
          <w:b/>
          <w:bCs/>
          <w:szCs w:val="20"/>
        </w:rPr>
        <w:t xml:space="preserve">STUDENTS </w:t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/>
          <w:bCs/>
          <w:szCs w:val="20"/>
        </w:rPr>
        <w:tab/>
        <w:t>3125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C067C6" w:rsidRPr="00D100D8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  <w:u w:val="single"/>
        </w:rPr>
      </w:pPr>
      <w:r w:rsidRPr="00D100D8">
        <w:rPr>
          <w:rFonts w:asciiTheme="majorHAnsi" w:hAnsiTheme="majorHAnsi" w:cs="Arial"/>
          <w:b/>
          <w:bCs/>
          <w:szCs w:val="20"/>
          <w:u w:val="single"/>
        </w:rPr>
        <w:t>Education of Homeless Children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Each child of a homeless individual and each homeless child has equal access to the same free,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appropriate public education as provided to other st</w:t>
      </w:r>
      <w:bookmarkStart w:id="0" w:name="_GoBack"/>
      <w:bookmarkEnd w:id="0"/>
      <w:r w:rsidRPr="005D527C">
        <w:rPr>
          <w:rFonts w:asciiTheme="majorHAnsi" w:hAnsiTheme="majorHAnsi" w:cs="Arial"/>
          <w:bCs/>
          <w:szCs w:val="20"/>
        </w:rPr>
        <w:t>udents. The trustees must assign and admit a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child who is homeless to a school in the District regardless of residence and irrespective of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whether the homeless child is able to produce records normally required for enrollment. The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trustees may not require an out-of-District attendance agreement and tuition for a homeless child.</w:t>
      </w:r>
      <w:r>
        <w:rPr>
          <w:rFonts w:asciiTheme="majorHAnsi" w:hAnsiTheme="majorHAnsi" w:cs="Arial"/>
          <w:bCs/>
          <w:szCs w:val="20"/>
        </w:rPr>
        <w:t xml:space="preserve">  </w:t>
      </w:r>
      <w:r w:rsidRPr="005D527C">
        <w:rPr>
          <w:rFonts w:asciiTheme="majorHAnsi" w:hAnsiTheme="majorHAnsi" w:cs="Arial"/>
          <w:bCs/>
          <w:szCs w:val="20"/>
        </w:rPr>
        <w:t>The Superintendent or designee shall review and revise rules or procedures that may act as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barriers to the enrollment of homeless children and youths. In reviewing and revising such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procedures, consideration shall be given to issues concerning transportation, immunization,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residence, birth certificates, school records, and other documentation.</w:t>
      </w:r>
    </w:p>
    <w:p w:rsidR="00C067C6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Homeless students shall have access to services comparable to serv</w:t>
      </w:r>
      <w:r>
        <w:rPr>
          <w:rFonts w:asciiTheme="majorHAnsi" w:hAnsiTheme="majorHAnsi" w:cs="Arial"/>
          <w:bCs/>
          <w:szCs w:val="20"/>
        </w:rPr>
        <w:t xml:space="preserve">ices offered to other students, </w:t>
      </w:r>
      <w:r w:rsidRPr="005D527C">
        <w:rPr>
          <w:rFonts w:asciiTheme="majorHAnsi" w:hAnsiTheme="majorHAnsi" w:cs="Arial"/>
          <w:bCs/>
          <w:szCs w:val="20"/>
        </w:rPr>
        <w:t>including but not limited to:</w:t>
      </w:r>
    </w:p>
    <w:p w:rsidR="00C067C6" w:rsidRPr="005D527C" w:rsidRDefault="00C067C6" w:rsidP="00293759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Transportation services;</w:t>
      </w:r>
    </w:p>
    <w:p w:rsidR="00C067C6" w:rsidRPr="005D527C" w:rsidRDefault="00C067C6" w:rsidP="00293759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Educational services for which the student meets eligibility criteria (e.g., Title I);</w:t>
      </w:r>
    </w:p>
    <w:p w:rsidR="00C067C6" w:rsidRPr="005D527C" w:rsidRDefault="00C067C6" w:rsidP="00293759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Educational programs for children with disabilities and limited English proficiency;</w:t>
      </w:r>
    </w:p>
    <w:p w:rsidR="00C067C6" w:rsidRPr="005D527C" w:rsidRDefault="00C067C6" w:rsidP="00293759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Programs in vocational and technical education, as well as programs for gifted and talented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students; and</w:t>
      </w:r>
    </w:p>
    <w:p w:rsidR="00C067C6" w:rsidRDefault="00C067C6" w:rsidP="00293759">
      <w:pPr>
        <w:pStyle w:val="ListParagraph"/>
        <w:numPr>
          <w:ilvl w:val="0"/>
          <w:numId w:val="1"/>
        </w:num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School nutrition program.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The Superintendent or designee shall give special attention to ensuring the enrollment and</w:t>
      </w:r>
      <w:r w:rsidR="00685DD8"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attendance of homeless children and youths not currently atte</w:t>
      </w:r>
      <w:r w:rsidR="00685DD8">
        <w:rPr>
          <w:rFonts w:asciiTheme="majorHAnsi" w:hAnsiTheme="majorHAnsi" w:cs="Arial"/>
          <w:bCs/>
          <w:szCs w:val="20"/>
        </w:rPr>
        <w:t xml:space="preserve">nding school. The Superintendent </w:t>
      </w:r>
      <w:r w:rsidRPr="005D527C">
        <w:rPr>
          <w:rFonts w:asciiTheme="majorHAnsi" w:hAnsiTheme="majorHAnsi" w:cs="Arial"/>
          <w:bCs/>
          <w:szCs w:val="20"/>
        </w:rPr>
        <w:t>shall appoint a liaison for homeless children.</w:t>
      </w:r>
    </w:p>
    <w:p w:rsidR="00C067C6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A “homeless child” is defined as provided in the McKinney Homeless Assistance Act.</w:t>
      </w:r>
    </w:p>
    <w:p w:rsidR="00C067C6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A complaint regarding the placement or education of a homeless child shall first be presented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orally and informally to the District’s homeless liaison/coordinator. Thereafter a written</w:t>
      </w:r>
      <w:r>
        <w:rPr>
          <w:rFonts w:asciiTheme="majorHAnsi" w:hAnsiTheme="majorHAnsi" w:cs="Arial"/>
          <w:bCs/>
          <w:szCs w:val="20"/>
        </w:rPr>
        <w:t xml:space="preserve"> </w:t>
      </w:r>
      <w:r w:rsidRPr="005D527C">
        <w:rPr>
          <w:rFonts w:asciiTheme="majorHAnsi" w:hAnsiTheme="majorHAnsi" w:cs="Arial"/>
          <w:bCs/>
          <w:szCs w:val="20"/>
        </w:rPr>
        <w:t>complaint must be filed in accordance with the District’s Uniform Grievance Procedure.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Note: This policy is required for a district receiving federal funds under Title I.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/>
          <w:bCs/>
          <w:szCs w:val="20"/>
        </w:rPr>
      </w:pP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/>
          <w:bCs/>
          <w:szCs w:val="20"/>
        </w:rPr>
        <w:t>Legal Reference:</w:t>
      </w:r>
      <w:r>
        <w:rPr>
          <w:rFonts w:asciiTheme="majorHAnsi" w:hAnsiTheme="majorHAnsi" w:cs="Arial"/>
          <w:b/>
          <w:bCs/>
          <w:szCs w:val="20"/>
        </w:rPr>
        <w:tab/>
      </w:r>
      <w:r w:rsidRPr="005D527C">
        <w:rPr>
          <w:rFonts w:asciiTheme="majorHAnsi" w:hAnsiTheme="majorHAnsi" w:cs="Arial"/>
          <w:bCs/>
          <w:szCs w:val="20"/>
        </w:rPr>
        <w:t xml:space="preserve"> 42 U.S.C. § 11431, et seq. </w:t>
      </w:r>
      <w:r>
        <w:rPr>
          <w:rFonts w:asciiTheme="majorHAnsi" w:hAnsiTheme="majorHAnsi" w:cs="Arial"/>
          <w:bCs/>
          <w:szCs w:val="20"/>
        </w:rPr>
        <w:tab/>
      </w:r>
      <w:r w:rsidRPr="005D527C">
        <w:rPr>
          <w:rFonts w:asciiTheme="majorHAnsi" w:hAnsiTheme="majorHAnsi" w:cs="Arial"/>
          <w:bCs/>
          <w:szCs w:val="20"/>
        </w:rPr>
        <w:t>McKinney Homeless Assistance Act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>
        <w:rPr>
          <w:rFonts w:asciiTheme="majorHAnsi" w:hAnsiTheme="majorHAnsi" w:cs="Arial"/>
          <w:bCs/>
          <w:szCs w:val="20"/>
        </w:rPr>
        <w:tab/>
      </w:r>
      <w:r>
        <w:rPr>
          <w:rFonts w:asciiTheme="majorHAnsi" w:hAnsiTheme="majorHAnsi" w:cs="Arial"/>
          <w:bCs/>
          <w:szCs w:val="20"/>
        </w:rPr>
        <w:tab/>
      </w:r>
      <w:r>
        <w:rPr>
          <w:rFonts w:asciiTheme="majorHAnsi" w:hAnsiTheme="majorHAnsi" w:cs="Arial"/>
          <w:bCs/>
          <w:szCs w:val="20"/>
        </w:rPr>
        <w:tab/>
      </w:r>
      <w:r w:rsidRPr="005D527C">
        <w:rPr>
          <w:rFonts w:asciiTheme="majorHAnsi" w:hAnsiTheme="majorHAnsi" w:cs="Arial"/>
          <w:bCs/>
          <w:szCs w:val="20"/>
        </w:rPr>
        <w:t xml:space="preserve">§ 20-5-101, MCA </w:t>
      </w:r>
      <w:r>
        <w:rPr>
          <w:rFonts w:asciiTheme="majorHAnsi" w:hAnsiTheme="majorHAnsi" w:cs="Arial"/>
          <w:bCs/>
          <w:szCs w:val="20"/>
        </w:rPr>
        <w:tab/>
      </w:r>
      <w:r>
        <w:rPr>
          <w:rFonts w:asciiTheme="majorHAnsi" w:hAnsiTheme="majorHAnsi" w:cs="Arial"/>
          <w:bCs/>
          <w:szCs w:val="20"/>
        </w:rPr>
        <w:tab/>
      </w:r>
      <w:r w:rsidRPr="005D527C">
        <w:rPr>
          <w:rFonts w:asciiTheme="majorHAnsi" w:hAnsiTheme="majorHAnsi" w:cs="Arial"/>
          <w:bCs/>
          <w:szCs w:val="20"/>
        </w:rPr>
        <w:t>Admittance of child to school.</w:t>
      </w:r>
    </w:p>
    <w:p w:rsidR="00C067C6" w:rsidRPr="005D527C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</w:p>
    <w:p w:rsidR="00C067C6" w:rsidRPr="00685DD8" w:rsidRDefault="00685DD8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  <w:u w:val="single"/>
        </w:rPr>
      </w:pPr>
      <w:r>
        <w:rPr>
          <w:rFonts w:asciiTheme="majorHAnsi" w:hAnsiTheme="majorHAnsi" w:cs="Arial"/>
          <w:bCs/>
          <w:szCs w:val="20"/>
          <w:u w:val="single"/>
        </w:rPr>
        <w:t>Pol</w:t>
      </w:r>
      <w:r w:rsidR="00C067C6" w:rsidRPr="00685DD8">
        <w:rPr>
          <w:rFonts w:asciiTheme="majorHAnsi" w:hAnsiTheme="majorHAnsi" w:cs="Arial"/>
          <w:bCs/>
          <w:szCs w:val="20"/>
          <w:u w:val="single"/>
        </w:rPr>
        <w:t>icy History:</w:t>
      </w:r>
    </w:p>
    <w:p w:rsidR="008529EA" w:rsidRPr="00C067C6" w:rsidRDefault="00C067C6" w:rsidP="00293759">
      <w:pPr>
        <w:tabs>
          <w:tab w:val="left" w:pos="-1440"/>
          <w:tab w:val="left" w:pos="-720"/>
        </w:tabs>
        <w:rPr>
          <w:rFonts w:asciiTheme="majorHAnsi" w:hAnsiTheme="majorHAnsi" w:cs="Arial"/>
          <w:bCs/>
          <w:szCs w:val="20"/>
        </w:rPr>
      </w:pPr>
      <w:r w:rsidRPr="005D527C">
        <w:rPr>
          <w:rFonts w:asciiTheme="majorHAnsi" w:hAnsiTheme="majorHAnsi" w:cs="Arial"/>
          <w:bCs/>
          <w:szCs w:val="20"/>
        </w:rPr>
        <w:t>Adopted: June 25, 2014</w:t>
      </w:r>
    </w:p>
    <w:sectPr w:rsidR="008529EA" w:rsidRPr="00C0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B302B"/>
    <w:multiLevelType w:val="hybridMultilevel"/>
    <w:tmpl w:val="01488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C6"/>
    <w:rsid w:val="00140D55"/>
    <w:rsid w:val="00293759"/>
    <w:rsid w:val="00293F9C"/>
    <w:rsid w:val="00685DD8"/>
    <w:rsid w:val="00C067C6"/>
    <w:rsid w:val="00D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C6"/>
    <w:pPr>
      <w:widowControl w:val="0"/>
      <w:autoSpaceDE w:val="0"/>
      <w:autoSpaceDN w:val="0"/>
      <w:adjustRightInd w:val="0"/>
      <w:spacing w:after="0" w:line="240" w:lineRule="auto"/>
    </w:pPr>
    <w:rPr>
      <w:rFonts w:ascii="LettrGoth12 BT" w:eastAsia="Times New Roman" w:hAnsi="LettrGoth12 BT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7C6"/>
    <w:pPr>
      <w:widowControl w:val="0"/>
      <w:autoSpaceDE w:val="0"/>
      <w:autoSpaceDN w:val="0"/>
      <w:adjustRightInd w:val="0"/>
      <w:spacing w:after="0" w:line="240" w:lineRule="auto"/>
    </w:pPr>
    <w:rPr>
      <w:rFonts w:ascii="LettrGoth12 BT" w:eastAsia="Times New Roman" w:hAnsi="LettrGoth12 BT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Schenk</dc:creator>
  <cp:lastModifiedBy>Schenk</cp:lastModifiedBy>
  <cp:revision>4</cp:revision>
  <dcterms:created xsi:type="dcterms:W3CDTF">2019-06-24T21:02:00Z</dcterms:created>
  <dcterms:modified xsi:type="dcterms:W3CDTF">2019-08-10T21:55:00Z</dcterms:modified>
</cp:coreProperties>
</file>