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B64" w:rsidRPr="00D26B64" w:rsidRDefault="00D26B64" w:rsidP="00D26B64">
      <w:pPr>
        <w:tabs>
          <w:tab w:val="left" w:pos="-1440"/>
          <w:tab w:val="left" w:pos="-720"/>
        </w:tabs>
        <w:rPr>
          <w:rFonts w:asciiTheme="majorHAnsi" w:hAnsiTheme="majorHAnsi"/>
          <w:sz w:val="24"/>
          <w:lang w:eastAsia="ja-JP"/>
        </w:rPr>
      </w:pPr>
      <w:r w:rsidRPr="00D26B64">
        <w:rPr>
          <w:rFonts w:asciiTheme="majorHAnsi" w:hAnsiTheme="majorHAnsi"/>
          <w:b/>
          <w:sz w:val="24"/>
          <w:lang w:eastAsia="ja-JP"/>
        </w:rPr>
        <w:t>FINANCIAL MANAGEMENT</w:t>
      </w:r>
      <w:r w:rsidRPr="00D26B64">
        <w:rPr>
          <w:rFonts w:asciiTheme="majorHAnsi" w:hAnsiTheme="majorHAnsi"/>
          <w:b/>
          <w:sz w:val="24"/>
          <w:lang w:eastAsia="ja-JP"/>
        </w:rPr>
        <w:tab/>
      </w:r>
      <w:r w:rsidRPr="00D26B64">
        <w:rPr>
          <w:rFonts w:asciiTheme="majorHAnsi" w:hAnsiTheme="majorHAnsi"/>
          <w:b/>
          <w:sz w:val="24"/>
          <w:lang w:eastAsia="ja-JP"/>
        </w:rPr>
        <w:tab/>
      </w:r>
      <w:r w:rsidRPr="00D26B64">
        <w:rPr>
          <w:rFonts w:asciiTheme="majorHAnsi" w:hAnsiTheme="majorHAnsi"/>
          <w:b/>
          <w:sz w:val="24"/>
          <w:lang w:eastAsia="ja-JP"/>
        </w:rPr>
        <w:tab/>
      </w:r>
      <w:r w:rsidRPr="00D26B64">
        <w:rPr>
          <w:rFonts w:asciiTheme="majorHAnsi" w:hAnsiTheme="majorHAnsi"/>
          <w:b/>
          <w:sz w:val="24"/>
          <w:lang w:eastAsia="ja-JP"/>
        </w:rPr>
        <w:tab/>
      </w:r>
      <w:r w:rsidRPr="00D26B64">
        <w:rPr>
          <w:rFonts w:asciiTheme="majorHAnsi" w:hAnsiTheme="majorHAnsi"/>
          <w:b/>
          <w:sz w:val="24"/>
          <w:lang w:eastAsia="ja-JP"/>
        </w:rPr>
        <w:tab/>
      </w:r>
      <w:r w:rsidRPr="00D26B64">
        <w:rPr>
          <w:rFonts w:asciiTheme="majorHAnsi" w:hAnsiTheme="majorHAnsi"/>
          <w:b/>
          <w:sz w:val="24"/>
          <w:lang w:eastAsia="ja-JP"/>
        </w:rPr>
        <w:tab/>
      </w:r>
      <w:r w:rsidRPr="00D26B64">
        <w:rPr>
          <w:rFonts w:asciiTheme="majorHAnsi" w:hAnsiTheme="majorHAnsi"/>
          <w:b/>
          <w:sz w:val="24"/>
          <w:lang w:eastAsia="ja-JP"/>
        </w:rPr>
        <w:tab/>
      </w:r>
      <w:r w:rsidRPr="00D26B64">
        <w:rPr>
          <w:rFonts w:asciiTheme="majorHAnsi" w:hAnsiTheme="majorHAnsi"/>
          <w:b/>
          <w:sz w:val="24"/>
          <w:lang w:eastAsia="ja-JP"/>
        </w:rPr>
        <w:tab/>
      </w:r>
      <w:r w:rsidRPr="00D26B64">
        <w:rPr>
          <w:rFonts w:asciiTheme="majorHAnsi" w:hAnsiTheme="majorHAnsi"/>
          <w:b/>
          <w:sz w:val="24"/>
          <w:lang w:eastAsia="ja-JP"/>
        </w:rPr>
        <w:t>7008</w:t>
      </w:r>
    </w:p>
    <w:p w:rsidR="00D26B64" w:rsidRPr="00D26B64" w:rsidRDefault="00D26B64" w:rsidP="00D26B64">
      <w:pPr>
        <w:tabs>
          <w:tab w:val="left" w:pos="-1440"/>
          <w:tab w:val="left" w:pos="-720"/>
        </w:tabs>
        <w:rPr>
          <w:rFonts w:asciiTheme="majorHAnsi" w:hAnsiTheme="majorHAnsi"/>
          <w:sz w:val="24"/>
          <w:lang w:eastAsia="ja-JP"/>
        </w:rPr>
      </w:pPr>
    </w:p>
    <w:p w:rsidR="00D26B64" w:rsidRPr="00D26B64" w:rsidRDefault="00D26B64" w:rsidP="00D26B64">
      <w:pPr>
        <w:tabs>
          <w:tab w:val="left" w:pos="-1440"/>
          <w:tab w:val="left" w:pos="-720"/>
        </w:tabs>
        <w:rPr>
          <w:rFonts w:asciiTheme="majorHAnsi" w:hAnsiTheme="majorHAnsi"/>
          <w:b/>
          <w:sz w:val="24"/>
          <w:lang w:eastAsia="ja-JP"/>
        </w:rPr>
      </w:pPr>
      <w:r w:rsidRPr="00D26B64">
        <w:rPr>
          <w:rFonts w:asciiTheme="majorHAnsi" w:hAnsiTheme="majorHAnsi"/>
          <w:b/>
          <w:sz w:val="24"/>
          <w:u w:val="single"/>
          <w:lang w:eastAsia="ja-JP"/>
        </w:rPr>
        <w:t>Nonresident Student Attendance Agreement (Tuition/Transportation Costs)</w:t>
      </w:r>
    </w:p>
    <w:p w:rsidR="00D26B64" w:rsidRPr="00D26B64" w:rsidRDefault="00D26B64" w:rsidP="00D26B64">
      <w:pPr>
        <w:tabs>
          <w:tab w:val="left" w:pos="-1440"/>
          <w:tab w:val="left" w:pos="-720"/>
        </w:tabs>
        <w:rPr>
          <w:rFonts w:asciiTheme="majorHAnsi" w:hAnsiTheme="majorHAnsi"/>
          <w:sz w:val="24"/>
          <w:lang w:eastAsia="ja-JP"/>
        </w:rPr>
      </w:pPr>
      <w:r w:rsidRPr="00D26B64">
        <w:rPr>
          <w:rFonts w:asciiTheme="majorHAnsi" w:hAnsiTheme="majorHAnsi"/>
          <w:sz w:val="24"/>
          <w:lang w:eastAsia="ja-JP"/>
        </w:rPr>
        <w:t>Whenever a nonresident student is to be enrolled in the District, either by choice or by placement, an attendance agreement must be filed with the Board.  Terms of the agreement must include tuition rate, the party responsible for paying tuition and the schedule of payment, transportation charges, if any, and the party responsible for paying transportation costs.</w:t>
      </w:r>
    </w:p>
    <w:p w:rsidR="00D26B64" w:rsidRPr="00D26B64" w:rsidRDefault="00D26B64" w:rsidP="00D26B64">
      <w:pPr>
        <w:tabs>
          <w:tab w:val="left" w:pos="-1440"/>
          <w:tab w:val="left" w:pos="-720"/>
        </w:tabs>
        <w:rPr>
          <w:rFonts w:asciiTheme="majorHAnsi" w:hAnsiTheme="majorHAnsi"/>
          <w:sz w:val="24"/>
          <w:lang w:eastAsia="ja-JP"/>
        </w:rPr>
      </w:pPr>
    </w:p>
    <w:p w:rsidR="00D26B64" w:rsidRPr="00D26B64" w:rsidRDefault="00D26B64" w:rsidP="00D26B64">
      <w:pPr>
        <w:tabs>
          <w:tab w:val="left" w:pos="-1440"/>
          <w:tab w:val="left" w:pos="-720"/>
        </w:tabs>
        <w:rPr>
          <w:rFonts w:asciiTheme="majorHAnsi" w:hAnsiTheme="majorHAnsi"/>
          <w:sz w:val="24"/>
          <w:lang w:eastAsia="ja-JP"/>
        </w:rPr>
      </w:pPr>
      <w:r w:rsidRPr="00D26B64">
        <w:rPr>
          <w:rFonts w:asciiTheme="majorHAnsi" w:hAnsiTheme="majorHAnsi"/>
          <w:sz w:val="24"/>
          <w:lang w:eastAsia="ja-JP"/>
        </w:rPr>
        <w:t>Tuition rates shall be determined annually, consistent with Montana law and approved by the Board.</w:t>
      </w:r>
    </w:p>
    <w:p w:rsidR="00D26B64" w:rsidRPr="00D26B64" w:rsidRDefault="00D26B64" w:rsidP="00D26B64">
      <w:pPr>
        <w:tabs>
          <w:tab w:val="left" w:pos="-1440"/>
          <w:tab w:val="left" w:pos="-720"/>
        </w:tabs>
        <w:rPr>
          <w:rFonts w:asciiTheme="majorHAnsi" w:hAnsiTheme="majorHAnsi"/>
          <w:sz w:val="24"/>
          <w:lang w:eastAsia="ja-JP"/>
        </w:rPr>
      </w:pPr>
    </w:p>
    <w:p w:rsidR="00D26B64" w:rsidRPr="00D26B64" w:rsidRDefault="00D26B64" w:rsidP="00D26B64">
      <w:pPr>
        <w:tabs>
          <w:tab w:val="left" w:pos="-1440"/>
          <w:tab w:val="left" w:pos="-720"/>
        </w:tabs>
        <w:rPr>
          <w:rFonts w:asciiTheme="majorHAnsi" w:hAnsiTheme="majorHAnsi"/>
          <w:b/>
          <w:sz w:val="24"/>
          <w:u w:val="single"/>
          <w:lang w:eastAsia="ja-JP"/>
        </w:rPr>
      </w:pPr>
      <w:r w:rsidRPr="00D26B64">
        <w:rPr>
          <w:rFonts w:asciiTheme="majorHAnsi" w:hAnsiTheme="majorHAnsi"/>
          <w:b/>
          <w:sz w:val="24"/>
          <w:u w:val="single"/>
          <w:lang w:eastAsia="ja-JP"/>
        </w:rPr>
        <w:t xml:space="preserve">Resident Students Enrolling in </w:t>
      </w:r>
      <w:proofErr w:type="gramStart"/>
      <w:r w:rsidRPr="00D26B64">
        <w:rPr>
          <w:rFonts w:asciiTheme="majorHAnsi" w:hAnsiTheme="majorHAnsi"/>
          <w:b/>
          <w:sz w:val="24"/>
          <w:u w:val="single"/>
          <w:lang w:eastAsia="ja-JP"/>
        </w:rPr>
        <w:t>Another</w:t>
      </w:r>
      <w:proofErr w:type="gramEnd"/>
      <w:r w:rsidRPr="00D26B64">
        <w:rPr>
          <w:rFonts w:asciiTheme="majorHAnsi" w:hAnsiTheme="majorHAnsi"/>
          <w:b/>
          <w:sz w:val="24"/>
          <w:u w:val="single"/>
          <w:lang w:eastAsia="ja-JP"/>
        </w:rPr>
        <w:t xml:space="preserve"> District</w:t>
      </w:r>
    </w:p>
    <w:p w:rsidR="00D26B64" w:rsidRPr="00D26B64" w:rsidRDefault="00D26B64" w:rsidP="00D26B64">
      <w:pPr>
        <w:tabs>
          <w:tab w:val="left" w:pos="-1440"/>
          <w:tab w:val="left" w:pos="-720"/>
        </w:tabs>
        <w:rPr>
          <w:rFonts w:asciiTheme="majorHAnsi" w:hAnsiTheme="majorHAnsi"/>
          <w:sz w:val="24"/>
          <w:lang w:eastAsia="ja-JP"/>
        </w:rPr>
      </w:pPr>
      <w:r w:rsidRPr="00D26B64">
        <w:rPr>
          <w:rFonts w:asciiTheme="majorHAnsi" w:hAnsiTheme="majorHAnsi"/>
          <w:sz w:val="24"/>
          <w:lang w:eastAsia="ja-JP"/>
        </w:rPr>
        <w:t>Whenever a resident student is to be enrolled in another district by choice, an attendance agreement must be filed with the Board of the District of enrollment.  The District, as the District of residence, will not be the party responsible for paying transportation or room and board costs for students enrolled by attendance agreements under Section 20-5-320, MCA.</w:t>
      </w:r>
    </w:p>
    <w:p w:rsidR="00D26B64" w:rsidRPr="00D26B64" w:rsidRDefault="00D26B64" w:rsidP="00D26B64">
      <w:pPr>
        <w:tabs>
          <w:tab w:val="left" w:pos="-1440"/>
          <w:tab w:val="left" w:pos="-720"/>
        </w:tabs>
        <w:rPr>
          <w:rFonts w:asciiTheme="majorHAnsi" w:hAnsiTheme="majorHAnsi"/>
          <w:sz w:val="24"/>
          <w:lang w:eastAsia="ja-JP"/>
        </w:rPr>
      </w:pPr>
    </w:p>
    <w:p w:rsidR="00D26B64" w:rsidRPr="00D26B64" w:rsidRDefault="00D26B64" w:rsidP="00D26B64">
      <w:pPr>
        <w:tabs>
          <w:tab w:val="left" w:pos="-1440"/>
          <w:tab w:val="left" w:pos="-720"/>
        </w:tabs>
        <w:rPr>
          <w:rFonts w:asciiTheme="majorHAnsi" w:hAnsiTheme="majorHAnsi"/>
          <w:sz w:val="24"/>
          <w:lang w:eastAsia="ja-JP"/>
        </w:rPr>
      </w:pPr>
    </w:p>
    <w:p w:rsidR="00D26B64" w:rsidRPr="00D26B64" w:rsidRDefault="00D26B64" w:rsidP="00D26B64">
      <w:pPr>
        <w:tabs>
          <w:tab w:val="left" w:pos="-1440"/>
          <w:tab w:val="left" w:pos="-720"/>
        </w:tabs>
        <w:rPr>
          <w:rFonts w:asciiTheme="majorHAnsi" w:hAnsiTheme="majorHAnsi"/>
          <w:b/>
          <w:sz w:val="24"/>
          <w:u w:val="single"/>
          <w:lang w:eastAsia="ja-JP"/>
        </w:rPr>
      </w:pPr>
      <w:r w:rsidRPr="00D26B64">
        <w:rPr>
          <w:rFonts w:asciiTheme="majorHAnsi" w:hAnsiTheme="majorHAnsi"/>
          <w:b/>
          <w:sz w:val="24"/>
          <w:u w:val="single"/>
          <w:lang w:eastAsia="ja-JP"/>
        </w:rPr>
        <w:t>Establishment of Bus Routes</w:t>
      </w:r>
    </w:p>
    <w:p w:rsidR="00D26B64" w:rsidRPr="00D26B64" w:rsidRDefault="00D26B64" w:rsidP="00D26B64">
      <w:pPr>
        <w:rPr>
          <w:rFonts w:asciiTheme="majorHAnsi" w:hAnsiTheme="majorHAnsi"/>
          <w:sz w:val="24"/>
          <w:szCs w:val="24"/>
        </w:rPr>
      </w:pPr>
      <w:r w:rsidRPr="00D26B64">
        <w:rPr>
          <w:rFonts w:asciiTheme="majorHAnsi" w:hAnsiTheme="majorHAnsi"/>
          <w:sz w:val="24"/>
          <w:szCs w:val="24"/>
          <w:lang w:eastAsia="ja-JP"/>
        </w:rPr>
        <w:t xml:space="preserve">The Board of Trustees will participate in the development of bus routes with the County Transportation Committee.  It is the policy of the School District that the Board of Trustees’ representative on the Committee will assert that any bus routes serving the high school district will </w:t>
      </w:r>
      <w:r w:rsidRPr="00D26B64">
        <w:rPr>
          <w:rFonts w:asciiTheme="majorHAnsi" w:hAnsiTheme="majorHAnsi"/>
          <w:color w:val="000000"/>
          <w:sz w:val="24"/>
          <w:szCs w:val="24"/>
        </w:rPr>
        <w:t>not go further into the School District than required to pick up or drop off the furthest high school student.  </w:t>
      </w:r>
    </w:p>
    <w:p w:rsidR="00D26B64" w:rsidRPr="00D26B64" w:rsidRDefault="00D26B64" w:rsidP="00D26B64">
      <w:pPr>
        <w:tabs>
          <w:tab w:val="left" w:pos="-1440"/>
          <w:tab w:val="left" w:pos="-720"/>
        </w:tabs>
        <w:rPr>
          <w:rFonts w:asciiTheme="majorHAnsi" w:hAnsiTheme="majorHAnsi"/>
          <w:sz w:val="24"/>
          <w:lang w:eastAsia="ja-JP"/>
        </w:rPr>
      </w:pPr>
    </w:p>
    <w:p w:rsidR="00D26B64" w:rsidRPr="00D26B64" w:rsidRDefault="00D26B64" w:rsidP="00D26B64">
      <w:pPr>
        <w:tabs>
          <w:tab w:val="left" w:pos="-1440"/>
          <w:tab w:val="left" w:pos="-720"/>
        </w:tabs>
        <w:rPr>
          <w:rFonts w:asciiTheme="majorHAnsi" w:hAnsiTheme="majorHAnsi"/>
          <w:sz w:val="24"/>
          <w:lang w:eastAsia="ja-JP"/>
        </w:rPr>
      </w:pPr>
    </w:p>
    <w:p w:rsidR="00D26B64" w:rsidRPr="00D26B64" w:rsidRDefault="00D26B64" w:rsidP="00D26B64">
      <w:pPr>
        <w:tabs>
          <w:tab w:val="left" w:pos="-1440"/>
          <w:tab w:val="left" w:pos="-720"/>
        </w:tabs>
        <w:rPr>
          <w:rFonts w:asciiTheme="majorHAnsi" w:hAnsiTheme="majorHAnsi"/>
          <w:sz w:val="24"/>
          <w:lang w:eastAsia="ja-JP"/>
        </w:rPr>
      </w:pPr>
    </w:p>
    <w:p w:rsidR="00D26B64" w:rsidRPr="00D26B64" w:rsidRDefault="00D26B64" w:rsidP="00D26B64">
      <w:pPr>
        <w:tabs>
          <w:tab w:val="left" w:pos="-1440"/>
          <w:tab w:val="left" w:pos="-720"/>
        </w:tabs>
        <w:rPr>
          <w:rFonts w:asciiTheme="majorHAnsi" w:hAnsiTheme="majorHAnsi"/>
          <w:sz w:val="24"/>
          <w:lang w:eastAsia="ja-JP"/>
        </w:rPr>
      </w:pPr>
      <w:r w:rsidRPr="00D26B64">
        <w:rPr>
          <w:rFonts w:asciiTheme="majorHAnsi" w:hAnsiTheme="majorHAnsi"/>
          <w:b/>
          <w:sz w:val="24"/>
          <w:lang w:eastAsia="ja-JP"/>
        </w:rPr>
        <w:t>Cross Reference:</w:t>
      </w:r>
      <w:r>
        <w:rPr>
          <w:rFonts w:asciiTheme="majorHAnsi" w:hAnsiTheme="majorHAnsi"/>
          <w:sz w:val="24"/>
          <w:lang w:eastAsia="ja-JP"/>
        </w:rPr>
        <w:tab/>
      </w:r>
      <w:r w:rsidRPr="00D26B64">
        <w:rPr>
          <w:rFonts w:asciiTheme="majorHAnsi" w:hAnsiTheme="majorHAnsi"/>
          <w:sz w:val="24"/>
          <w:lang w:eastAsia="ja-JP"/>
        </w:rPr>
        <w:t>3141</w:t>
      </w:r>
      <w:r>
        <w:rPr>
          <w:rFonts w:asciiTheme="majorHAnsi" w:hAnsiTheme="majorHAnsi"/>
          <w:sz w:val="24"/>
          <w:lang w:eastAsia="ja-JP"/>
        </w:rPr>
        <w:tab/>
      </w:r>
      <w:r>
        <w:rPr>
          <w:rFonts w:asciiTheme="majorHAnsi" w:hAnsiTheme="majorHAnsi"/>
          <w:sz w:val="24"/>
          <w:lang w:eastAsia="ja-JP"/>
        </w:rPr>
        <w:tab/>
      </w:r>
      <w:r w:rsidRPr="00D26B64">
        <w:rPr>
          <w:rFonts w:asciiTheme="majorHAnsi" w:hAnsiTheme="majorHAnsi"/>
          <w:sz w:val="24"/>
          <w:lang w:eastAsia="ja-JP"/>
        </w:rPr>
        <w:t>Discretionary Nonresident Student Attendance Policy</w:t>
      </w:r>
    </w:p>
    <w:p w:rsidR="00D26B64" w:rsidRPr="00D26B64" w:rsidRDefault="00D26B64" w:rsidP="00D26B64">
      <w:pPr>
        <w:tabs>
          <w:tab w:val="left" w:pos="-1440"/>
          <w:tab w:val="left" w:pos="-720"/>
        </w:tabs>
        <w:rPr>
          <w:rFonts w:asciiTheme="majorHAnsi" w:hAnsiTheme="majorHAnsi"/>
          <w:sz w:val="24"/>
          <w:lang w:eastAsia="ja-JP"/>
        </w:rPr>
      </w:pPr>
    </w:p>
    <w:p w:rsidR="00D26B64" w:rsidRPr="00D26B64" w:rsidRDefault="00D26B64" w:rsidP="00D26B64">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s>
        <w:ind w:left="3600" w:hanging="3600"/>
        <w:rPr>
          <w:rFonts w:asciiTheme="majorHAnsi" w:hAnsiTheme="majorHAnsi"/>
          <w:b/>
        </w:rPr>
      </w:pPr>
      <w:r w:rsidRPr="00D26B64">
        <w:rPr>
          <w:rFonts w:asciiTheme="majorHAnsi" w:hAnsiTheme="majorHAnsi"/>
          <w:b/>
        </w:rPr>
        <w:t>Legal Refe</w:t>
      </w:r>
      <w:r w:rsidRPr="00D26B64">
        <w:rPr>
          <w:rFonts w:asciiTheme="majorHAnsi" w:hAnsiTheme="majorHAnsi"/>
          <w:b/>
        </w:rPr>
        <w:t>rence:</w:t>
      </w:r>
    </w:p>
    <w:p w:rsidR="00D26B64" w:rsidRPr="00D26B64" w:rsidRDefault="00D26B64" w:rsidP="00D26B64">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s>
        <w:ind w:left="3600" w:hanging="1440"/>
        <w:rPr>
          <w:rFonts w:asciiTheme="majorHAnsi" w:hAnsiTheme="majorHAnsi"/>
        </w:rPr>
      </w:pPr>
      <w:r>
        <w:rPr>
          <w:rFonts w:asciiTheme="majorHAnsi" w:hAnsiTheme="majorHAnsi"/>
        </w:rPr>
        <w:t xml:space="preserve">§ 20-5-314, </w:t>
      </w:r>
      <w:r>
        <w:rPr>
          <w:rFonts w:asciiTheme="majorHAnsi" w:hAnsiTheme="majorHAnsi"/>
        </w:rPr>
        <w:tab/>
      </w:r>
      <w:proofErr w:type="spellStart"/>
      <w:r>
        <w:rPr>
          <w:rFonts w:asciiTheme="majorHAnsi" w:hAnsiTheme="majorHAnsi"/>
        </w:rPr>
        <w:t>MCA</w:t>
      </w:r>
      <w:r w:rsidRPr="00D26B64">
        <w:rPr>
          <w:rFonts w:asciiTheme="majorHAnsi" w:hAnsiTheme="majorHAnsi"/>
        </w:rPr>
        <w:t>Reciprocal</w:t>
      </w:r>
      <w:proofErr w:type="spellEnd"/>
      <w:r w:rsidRPr="00D26B64">
        <w:rPr>
          <w:rFonts w:asciiTheme="majorHAnsi" w:hAnsiTheme="majorHAnsi"/>
        </w:rPr>
        <w:t xml:space="preserve"> attendance agreement with adjoining state or province</w:t>
      </w:r>
    </w:p>
    <w:p w:rsidR="00D26B64" w:rsidRPr="00D26B64" w:rsidRDefault="00D26B64" w:rsidP="00D26B64">
      <w:pPr>
        <w:tabs>
          <w:tab w:val="left" w:pos="-1440"/>
          <w:tab w:val="left" w:pos="-810"/>
          <w:tab w:val="left" w:pos="-720"/>
          <w:tab w:val="left" w:pos="-270"/>
        </w:tabs>
        <w:ind w:left="3600" w:hanging="1440"/>
        <w:rPr>
          <w:rFonts w:asciiTheme="majorHAnsi" w:hAnsiTheme="majorHAnsi"/>
          <w:sz w:val="24"/>
          <w:lang w:eastAsia="ja-JP"/>
        </w:rPr>
      </w:pPr>
      <w:r>
        <w:rPr>
          <w:rFonts w:asciiTheme="majorHAnsi" w:hAnsiTheme="majorHAnsi"/>
          <w:sz w:val="24"/>
          <w:lang w:eastAsia="ja-JP"/>
        </w:rPr>
        <w:t xml:space="preserve">§ 20-5-320, </w:t>
      </w:r>
      <w:r>
        <w:rPr>
          <w:rFonts w:asciiTheme="majorHAnsi" w:hAnsiTheme="majorHAnsi"/>
          <w:sz w:val="24"/>
          <w:lang w:eastAsia="ja-JP"/>
        </w:rPr>
        <w:tab/>
      </w:r>
      <w:proofErr w:type="spellStart"/>
      <w:r>
        <w:rPr>
          <w:rFonts w:asciiTheme="majorHAnsi" w:hAnsiTheme="majorHAnsi"/>
          <w:sz w:val="24"/>
          <w:lang w:eastAsia="ja-JP"/>
        </w:rPr>
        <w:t>MCA</w:t>
      </w:r>
      <w:r w:rsidRPr="00D26B64">
        <w:rPr>
          <w:rFonts w:asciiTheme="majorHAnsi" w:hAnsiTheme="majorHAnsi"/>
          <w:sz w:val="24"/>
          <w:lang w:eastAsia="ja-JP"/>
        </w:rPr>
        <w:t>Attendance</w:t>
      </w:r>
      <w:proofErr w:type="spellEnd"/>
      <w:r w:rsidRPr="00D26B64">
        <w:rPr>
          <w:rFonts w:asciiTheme="majorHAnsi" w:hAnsiTheme="majorHAnsi"/>
          <w:sz w:val="24"/>
          <w:lang w:eastAsia="ja-JP"/>
        </w:rPr>
        <w:t xml:space="preserve"> with discretionary approval</w:t>
      </w:r>
    </w:p>
    <w:p w:rsidR="00D26B64" w:rsidRPr="00D26B64" w:rsidRDefault="00D26B64" w:rsidP="00D26B64">
      <w:pPr>
        <w:tabs>
          <w:tab w:val="left" w:pos="-1440"/>
          <w:tab w:val="left" w:pos="-810"/>
          <w:tab w:val="left" w:pos="-720"/>
          <w:tab w:val="left" w:pos="-270"/>
        </w:tabs>
        <w:ind w:left="3600" w:hanging="1440"/>
        <w:rPr>
          <w:rFonts w:asciiTheme="majorHAnsi" w:hAnsiTheme="majorHAnsi"/>
          <w:sz w:val="24"/>
          <w:lang w:eastAsia="ja-JP"/>
        </w:rPr>
      </w:pPr>
      <w:r>
        <w:rPr>
          <w:rFonts w:asciiTheme="majorHAnsi" w:hAnsiTheme="majorHAnsi"/>
          <w:sz w:val="24"/>
          <w:lang w:eastAsia="ja-JP"/>
        </w:rPr>
        <w:t>§</w:t>
      </w:r>
      <w:bookmarkStart w:id="0" w:name="_GoBack"/>
      <w:bookmarkEnd w:id="0"/>
      <w:r>
        <w:rPr>
          <w:rFonts w:asciiTheme="majorHAnsi" w:hAnsiTheme="majorHAnsi"/>
          <w:sz w:val="24"/>
          <w:lang w:eastAsia="ja-JP"/>
        </w:rPr>
        <w:t xml:space="preserve"> 20-5-321, </w:t>
      </w:r>
      <w:r>
        <w:rPr>
          <w:rFonts w:asciiTheme="majorHAnsi" w:hAnsiTheme="majorHAnsi"/>
          <w:sz w:val="24"/>
          <w:lang w:eastAsia="ja-JP"/>
        </w:rPr>
        <w:tab/>
      </w:r>
      <w:proofErr w:type="spellStart"/>
      <w:r>
        <w:rPr>
          <w:rFonts w:asciiTheme="majorHAnsi" w:hAnsiTheme="majorHAnsi"/>
          <w:sz w:val="24"/>
          <w:lang w:eastAsia="ja-JP"/>
        </w:rPr>
        <w:t>MCA</w:t>
      </w:r>
      <w:r w:rsidRPr="00D26B64">
        <w:rPr>
          <w:rFonts w:asciiTheme="majorHAnsi" w:hAnsiTheme="majorHAnsi"/>
          <w:sz w:val="24"/>
          <w:lang w:eastAsia="ja-JP"/>
        </w:rPr>
        <w:t>Attendance</w:t>
      </w:r>
      <w:proofErr w:type="spellEnd"/>
      <w:r w:rsidRPr="00D26B64">
        <w:rPr>
          <w:rFonts w:asciiTheme="majorHAnsi" w:hAnsiTheme="majorHAnsi"/>
          <w:sz w:val="24"/>
          <w:lang w:eastAsia="ja-JP"/>
        </w:rPr>
        <w:t xml:space="preserve"> with mandatory approval – tuition and transportation</w:t>
      </w:r>
    </w:p>
    <w:p w:rsidR="00D26B64" w:rsidRPr="00D26B64" w:rsidRDefault="00D26B64" w:rsidP="00D26B64">
      <w:pPr>
        <w:tabs>
          <w:tab w:val="left" w:pos="-1440"/>
          <w:tab w:val="left" w:pos="-810"/>
          <w:tab w:val="left" w:pos="-720"/>
          <w:tab w:val="left" w:pos="-270"/>
        </w:tabs>
        <w:ind w:left="3600" w:hanging="1440"/>
        <w:rPr>
          <w:rFonts w:asciiTheme="majorHAnsi" w:hAnsiTheme="majorHAnsi"/>
          <w:sz w:val="24"/>
          <w:lang w:eastAsia="ja-JP"/>
        </w:rPr>
      </w:pPr>
      <w:r>
        <w:rPr>
          <w:rFonts w:asciiTheme="majorHAnsi" w:hAnsiTheme="majorHAnsi"/>
          <w:sz w:val="24"/>
          <w:lang w:eastAsia="ja-JP"/>
        </w:rPr>
        <w:t xml:space="preserve">§ 20-5-322, </w:t>
      </w:r>
      <w:r>
        <w:rPr>
          <w:rFonts w:asciiTheme="majorHAnsi" w:hAnsiTheme="majorHAnsi"/>
          <w:sz w:val="24"/>
          <w:lang w:eastAsia="ja-JP"/>
        </w:rPr>
        <w:tab/>
      </w:r>
      <w:proofErr w:type="spellStart"/>
      <w:r>
        <w:rPr>
          <w:rFonts w:asciiTheme="majorHAnsi" w:hAnsiTheme="majorHAnsi"/>
          <w:sz w:val="24"/>
          <w:lang w:eastAsia="ja-JP"/>
        </w:rPr>
        <w:t>MCA</w:t>
      </w:r>
      <w:r w:rsidRPr="00D26B64">
        <w:rPr>
          <w:rFonts w:asciiTheme="majorHAnsi" w:hAnsiTheme="majorHAnsi"/>
          <w:sz w:val="24"/>
          <w:lang w:eastAsia="ja-JP"/>
        </w:rPr>
        <w:t>Residency</w:t>
      </w:r>
      <w:proofErr w:type="spellEnd"/>
      <w:r w:rsidRPr="00D26B64">
        <w:rPr>
          <w:rFonts w:asciiTheme="majorHAnsi" w:hAnsiTheme="majorHAnsi"/>
          <w:sz w:val="24"/>
          <w:lang w:eastAsia="ja-JP"/>
        </w:rPr>
        <w:t xml:space="preserve"> determination – notification – appeal for attendance agreement</w:t>
      </w:r>
    </w:p>
    <w:p w:rsidR="00D26B64" w:rsidRPr="00D26B64" w:rsidRDefault="00D26B64" w:rsidP="00D26B64">
      <w:pPr>
        <w:tabs>
          <w:tab w:val="left" w:pos="-1440"/>
          <w:tab w:val="left" w:pos="-810"/>
          <w:tab w:val="left" w:pos="-720"/>
          <w:tab w:val="left" w:pos="-270"/>
        </w:tabs>
        <w:ind w:left="3600" w:hanging="1440"/>
        <w:rPr>
          <w:rFonts w:asciiTheme="majorHAnsi" w:hAnsiTheme="majorHAnsi"/>
          <w:sz w:val="24"/>
          <w:lang w:eastAsia="ja-JP"/>
        </w:rPr>
      </w:pPr>
      <w:r w:rsidRPr="00D26B64">
        <w:rPr>
          <w:rFonts w:asciiTheme="majorHAnsi" w:hAnsiTheme="majorHAnsi"/>
          <w:sz w:val="24"/>
          <w:lang w:eastAsia="ja-JP"/>
        </w:rPr>
        <w:t>§ 20-5-32</w:t>
      </w:r>
      <w:r>
        <w:rPr>
          <w:rFonts w:asciiTheme="majorHAnsi" w:hAnsiTheme="majorHAnsi"/>
          <w:sz w:val="24"/>
          <w:lang w:eastAsia="ja-JP"/>
        </w:rPr>
        <w:t>3,</w:t>
      </w:r>
      <w:r>
        <w:rPr>
          <w:rFonts w:asciiTheme="majorHAnsi" w:hAnsiTheme="majorHAnsi"/>
          <w:sz w:val="24"/>
          <w:lang w:eastAsia="ja-JP"/>
        </w:rPr>
        <w:tab/>
        <w:t xml:space="preserve"> </w:t>
      </w:r>
      <w:proofErr w:type="spellStart"/>
      <w:r>
        <w:rPr>
          <w:rFonts w:asciiTheme="majorHAnsi" w:hAnsiTheme="majorHAnsi"/>
          <w:sz w:val="24"/>
          <w:lang w:eastAsia="ja-JP"/>
        </w:rPr>
        <w:t>MCA</w:t>
      </w:r>
      <w:r w:rsidRPr="00D26B64">
        <w:rPr>
          <w:rFonts w:asciiTheme="majorHAnsi" w:hAnsiTheme="majorHAnsi"/>
          <w:sz w:val="24"/>
          <w:lang w:eastAsia="ja-JP"/>
        </w:rPr>
        <w:t>Tuition</w:t>
      </w:r>
      <w:proofErr w:type="spellEnd"/>
      <w:r w:rsidRPr="00D26B64">
        <w:rPr>
          <w:rFonts w:asciiTheme="majorHAnsi" w:hAnsiTheme="majorHAnsi"/>
          <w:sz w:val="24"/>
          <w:lang w:eastAsia="ja-JP"/>
        </w:rPr>
        <w:t xml:space="preserve"> and transportation rates</w:t>
      </w:r>
    </w:p>
    <w:p w:rsidR="00D26B64" w:rsidRPr="00D26B64" w:rsidRDefault="00D26B64" w:rsidP="00D26B64">
      <w:pPr>
        <w:tabs>
          <w:tab w:val="left" w:pos="-1440"/>
          <w:tab w:val="left" w:pos="-810"/>
          <w:tab w:val="left" w:pos="-720"/>
          <w:tab w:val="left" w:pos="-270"/>
        </w:tabs>
        <w:ind w:left="3600" w:hanging="1440"/>
        <w:rPr>
          <w:rFonts w:asciiTheme="majorHAnsi" w:hAnsiTheme="majorHAnsi"/>
          <w:sz w:val="24"/>
          <w:lang w:eastAsia="ja-JP"/>
        </w:rPr>
      </w:pPr>
      <w:r>
        <w:rPr>
          <w:rFonts w:asciiTheme="majorHAnsi" w:hAnsiTheme="majorHAnsi"/>
          <w:sz w:val="24"/>
          <w:lang w:eastAsia="ja-JP"/>
        </w:rPr>
        <w:t xml:space="preserve">10.10.301, </w:t>
      </w:r>
      <w:r>
        <w:rPr>
          <w:rFonts w:asciiTheme="majorHAnsi" w:hAnsiTheme="majorHAnsi"/>
          <w:sz w:val="24"/>
          <w:lang w:eastAsia="ja-JP"/>
        </w:rPr>
        <w:tab/>
      </w:r>
      <w:proofErr w:type="spellStart"/>
      <w:r>
        <w:rPr>
          <w:rFonts w:asciiTheme="majorHAnsi" w:hAnsiTheme="majorHAnsi"/>
          <w:sz w:val="24"/>
          <w:lang w:eastAsia="ja-JP"/>
        </w:rPr>
        <w:t>ARM</w:t>
      </w:r>
      <w:r w:rsidRPr="00D26B64">
        <w:rPr>
          <w:rFonts w:asciiTheme="majorHAnsi" w:hAnsiTheme="majorHAnsi"/>
          <w:sz w:val="24"/>
          <w:lang w:eastAsia="ja-JP"/>
        </w:rPr>
        <w:t>Calculating</w:t>
      </w:r>
      <w:proofErr w:type="spellEnd"/>
      <w:r w:rsidRPr="00D26B64">
        <w:rPr>
          <w:rFonts w:asciiTheme="majorHAnsi" w:hAnsiTheme="majorHAnsi"/>
          <w:sz w:val="24"/>
          <w:lang w:eastAsia="ja-JP"/>
        </w:rPr>
        <w:t xml:space="preserve"> Tuition Rates</w:t>
      </w:r>
    </w:p>
    <w:p w:rsidR="00D26B64" w:rsidRPr="00D26B64" w:rsidRDefault="00D26B64" w:rsidP="00D26B64">
      <w:pPr>
        <w:tabs>
          <w:tab w:val="left" w:pos="-1440"/>
          <w:tab w:val="left" w:pos="-720"/>
        </w:tabs>
        <w:rPr>
          <w:rFonts w:asciiTheme="majorHAnsi" w:hAnsiTheme="majorHAnsi"/>
          <w:sz w:val="24"/>
          <w:lang w:eastAsia="ja-JP"/>
        </w:rPr>
      </w:pPr>
    </w:p>
    <w:p w:rsidR="00D26B64" w:rsidRPr="00D26B64" w:rsidRDefault="00D26B64" w:rsidP="00D26B64">
      <w:pPr>
        <w:tabs>
          <w:tab w:val="left" w:pos="-1440"/>
          <w:tab w:val="left" w:pos="-720"/>
        </w:tabs>
        <w:rPr>
          <w:rFonts w:asciiTheme="majorHAnsi" w:hAnsiTheme="majorHAnsi"/>
          <w:sz w:val="24"/>
          <w:lang w:eastAsia="ja-JP"/>
        </w:rPr>
      </w:pPr>
      <w:r w:rsidRPr="00D26B64">
        <w:rPr>
          <w:rFonts w:asciiTheme="majorHAnsi" w:hAnsiTheme="majorHAnsi"/>
          <w:sz w:val="24"/>
          <w:u w:val="single"/>
          <w:lang w:eastAsia="ja-JP"/>
        </w:rPr>
        <w:t>Policy History:</w:t>
      </w:r>
    </w:p>
    <w:p w:rsidR="00D26B64" w:rsidRPr="00D26B64" w:rsidRDefault="00D26B64" w:rsidP="00D26B64">
      <w:pPr>
        <w:tabs>
          <w:tab w:val="left" w:pos="-1440"/>
          <w:tab w:val="left" w:pos="-720"/>
        </w:tabs>
        <w:rPr>
          <w:rFonts w:asciiTheme="majorHAnsi" w:hAnsiTheme="majorHAnsi"/>
          <w:sz w:val="24"/>
          <w:lang w:eastAsia="ja-JP"/>
        </w:rPr>
      </w:pPr>
      <w:r w:rsidRPr="00D26B64">
        <w:rPr>
          <w:rFonts w:asciiTheme="majorHAnsi" w:hAnsiTheme="majorHAnsi"/>
          <w:sz w:val="24"/>
          <w:lang w:eastAsia="ja-JP"/>
        </w:rPr>
        <w:t xml:space="preserve">Adopted on: </w:t>
      </w:r>
    </w:p>
    <w:p w:rsidR="00D26B64" w:rsidRPr="00D26B64" w:rsidRDefault="00D26B64" w:rsidP="00D26B64">
      <w:pPr>
        <w:tabs>
          <w:tab w:val="left" w:pos="-1440"/>
          <w:tab w:val="left" w:pos="-720"/>
        </w:tabs>
        <w:rPr>
          <w:rFonts w:asciiTheme="majorHAnsi" w:hAnsiTheme="majorHAnsi"/>
          <w:sz w:val="24"/>
          <w:lang w:eastAsia="ja-JP"/>
        </w:rPr>
      </w:pPr>
      <w:r w:rsidRPr="00D26B64">
        <w:rPr>
          <w:rFonts w:asciiTheme="majorHAnsi" w:hAnsiTheme="majorHAnsi"/>
          <w:sz w:val="24"/>
          <w:lang w:eastAsia="ja-JP"/>
        </w:rPr>
        <w:t>Reviewed on:</w:t>
      </w:r>
    </w:p>
    <w:p w:rsidR="008529EA" w:rsidRPr="00D26B64" w:rsidRDefault="00D26B64" w:rsidP="00D26B64">
      <w:pPr>
        <w:tabs>
          <w:tab w:val="left" w:pos="-1440"/>
          <w:tab w:val="left" w:pos="-720"/>
        </w:tabs>
        <w:rPr>
          <w:rFonts w:asciiTheme="majorHAnsi" w:hAnsiTheme="majorHAnsi"/>
          <w:sz w:val="24"/>
          <w:lang w:eastAsia="ja-JP"/>
        </w:rPr>
      </w:pPr>
      <w:r w:rsidRPr="00D26B64">
        <w:rPr>
          <w:rFonts w:asciiTheme="majorHAnsi" w:hAnsiTheme="majorHAnsi"/>
          <w:sz w:val="24"/>
          <w:lang w:eastAsia="ja-JP"/>
        </w:rPr>
        <w:t>Revised on:</w:t>
      </w:r>
    </w:p>
    <w:sectPr w:rsidR="008529EA" w:rsidRPr="00D26B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B64"/>
    <w:rsid w:val="00140D55"/>
    <w:rsid w:val="00293F9C"/>
    <w:rsid w:val="00D26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B6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26B6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s>
      <w:ind w:left="4320" w:hanging="4320"/>
    </w:pPr>
    <w:rPr>
      <w:sz w:val="24"/>
      <w:lang w:eastAsia="ja-JP"/>
    </w:rPr>
  </w:style>
  <w:style w:type="character" w:customStyle="1" w:styleId="BodyTextIndentChar">
    <w:name w:val="Body Text Indent Char"/>
    <w:basedOn w:val="DefaultParagraphFont"/>
    <w:link w:val="BodyTextIndent"/>
    <w:rsid w:val="00D26B64"/>
    <w:rPr>
      <w:rFonts w:ascii="Times New Roman" w:eastAsia="Times New Roman" w:hAnsi="Times New Roman" w:cs="Times New Roman"/>
      <w:sz w:val="24"/>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B6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26B6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s>
      <w:ind w:left="4320" w:hanging="4320"/>
    </w:pPr>
    <w:rPr>
      <w:sz w:val="24"/>
      <w:lang w:eastAsia="ja-JP"/>
    </w:rPr>
  </w:style>
  <w:style w:type="character" w:customStyle="1" w:styleId="BodyTextIndentChar">
    <w:name w:val="Body Text Indent Char"/>
    <w:basedOn w:val="DefaultParagraphFont"/>
    <w:link w:val="BodyTextIndent"/>
    <w:rsid w:val="00D26B64"/>
    <w:rPr>
      <w:rFonts w:ascii="Times New Roman" w:eastAsia="Times New Roman" w:hAnsi="Times New Roman" w:cs="Times New Roman"/>
      <w:sz w:val="24"/>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Schenk</dc:creator>
  <cp:lastModifiedBy>Schenk</cp:lastModifiedBy>
  <cp:revision>1</cp:revision>
  <dcterms:created xsi:type="dcterms:W3CDTF">2021-04-08T13:07:00Z</dcterms:created>
  <dcterms:modified xsi:type="dcterms:W3CDTF">2021-04-08T13:24:00Z</dcterms:modified>
</cp:coreProperties>
</file>