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FB3" w:rsidRPr="003B2FB3" w:rsidRDefault="003B2FB3" w:rsidP="003B2FB3">
      <w:pPr>
        <w:tabs>
          <w:tab w:val="right" w:pos="9360"/>
        </w:tabs>
        <w:jc w:val="both"/>
        <w:rPr>
          <w:rFonts w:asciiTheme="majorHAnsi" w:hAnsiTheme="majorHAnsi" w:cs="Arial"/>
          <w:b/>
          <w:bCs/>
          <w:szCs w:val="20"/>
        </w:rPr>
      </w:pPr>
      <w:r w:rsidRPr="003B2FB3">
        <w:rPr>
          <w:rFonts w:asciiTheme="majorHAnsi" w:hAnsiTheme="majorHAnsi" w:cs="Arial"/>
          <w:b/>
          <w:bCs/>
          <w:szCs w:val="20"/>
        </w:rPr>
        <w:t>FINANCIAL MANAGEMENT</w:t>
      </w:r>
      <w:r w:rsidRPr="003B2FB3">
        <w:rPr>
          <w:rFonts w:asciiTheme="majorHAnsi" w:hAnsiTheme="majorHAnsi" w:cs="Arial"/>
          <w:b/>
          <w:bCs/>
          <w:szCs w:val="20"/>
        </w:rPr>
        <w:tab/>
        <w:t>7430</w:t>
      </w:r>
    </w:p>
    <w:p w:rsidR="003B2FB3" w:rsidRPr="003B2FB3" w:rsidRDefault="003B2FB3" w:rsidP="003B2FB3">
      <w:pPr>
        <w:jc w:val="both"/>
        <w:rPr>
          <w:rFonts w:asciiTheme="majorHAnsi" w:hAnsiTheme="majorHAnsi" w:cs="Arial"/>
          <w:b/>
          <w:bCs/>
          <w:szCs w:val="20"/>
        </w:rPr>
      </w:pPr>
    </w:p>
    <w:p w:rsidR="003B2FB3" w:rsidRPr="003B2FB3" w:rsidRDefault="003B2FB3" w:rsidP="003B2FB3">
      <w:pPr>
        <w:jc w:val="both"/>
        <w:rPr>
          <w:rFonts w:asciiTheme="majorHAnsi" w:hAnsiTheme="majorHAnsi" w:cs="Arial"/>
          <w:b/>
          <w:bCs/>
          <w:szCs w:val="20"/>
        </w:rPr>
      </w:pPr>
      <w:r w:rsidRPr="003B2FB3">
        <w:rPr>
          <w:rFonts w:asciiTheme="majorHAnsi" w:hAnsiTheme="majorHAnsi" w:cs="Arial"/>
          <w:b/>
          <w:bCs/>
          <w:szCs w:val="20"/>
          <w:u w:val="single"/>
        </w:rPr>
        <w:t>Financial Reporting</w:t>
      </w:r>
      <w:r w:rsidRPr="003B2FB3">
        <w:rPr>
          <w:rFonts w:asciiTheme="majorHAnsi" w:hAnsiTheme="majorHAnsi" w:cs="Arial"/>
          <w:b/>
          <w:bCs/>
          <w:szCs w:val="20"/>
        </w:rPr>
        <w:fldChar w:fldCharType="begin"/>
      </w:r>
      <w:r w:rsidRPr="003B2FB3">
        <w:rPr>
          <w:rFonts w:asciiTheme="majorHAnsi" w:hAnsiTheme="majorHAnsi" w:cs="Arial"/>
          <w:b/>
          <w:bCs/>
          <w:szCs w:val="20"/>
        </w:rPr>
        <w:instrText>tc \l1 "7430</w:instrText>
      </w:r>
      <w:r w:rsidRPr="003B2FB3">
        <w:rPr>
          <w:rFonts w:asciiTheme="majorHAnsi" w:hAnsiTheme="majorHAnsi" w:cs="Arial"/>
          <w:b/>
          <w:bCs/>
          <w:szCs w:val="20"/>
          <w:u w:val="single"/>
        </w:rPr>
        <w:instrText>Financial Reporting</w:instrText>
      </w:r>
      <w:r w:rsidRPr="003B2FB3">
        <w:rPr>
          <w:rFonts w:asciiTheme="majorHAnsi" w:hAnsiTheme="majorHAnsi" w:cs="Arial"/>
          <w:b/>
          <w:bCs/>
          <w:szCs w:val="20"/>
        </w:rPr>
        <w:fldChar w:fldCharType="end"/>
      </w:r>
    </w:p>
    <w:p w:rsidR="003B2FB3" w:rsidRPr="003B2FB3" w:rsidRDefault="003B2FB3" w:rsidP="003B2FB3">
      <w:pPr>
        <w:jc w:val="both"/>
        <w:rPr>
          <w:rFonts w:asciiTheme="majorHAnsi" w:hAnsiTheme="majorHAnsi" w:cs="Arial"/>
          <w:bCs/>
          <w:szCs w:val="20"/>
        </w:rPr>
      </w:pPr>
      <w:r w:rsidRPr="003B2FB3">
        <w:rPr>
          <w:rFonts w:asciiTheme="majorHAnsi" w:hAnsiTheme="majorHAnsi" w:cs="Arial"/>
          <w:bCs/>
          <w:szCs w:val="20"/>
        </w:rPr>
        <w:t>The Board directs that financial reports of all District funds shall be prepared in compliance with statutory provisions and generally accepted accounting and financial reporting standards.  In addition to the reports required for local, state, and federal agencies, financial reports will be prepared monthly and annually and presented to the Board.  The financial reports shall reflect the financial activity and status of the District funds.</w:t>
      </w:r>
    </w:p>
    <w:p w:rsidR="003B2FB3" w:rsidRPr="003B2FB3" w:rsidRDefault="003B2FB3" w:rsidP="003B2FB3">
      <w:pPr>
        <w:jc w:val="both"/>
        <w:rPr>
          <w:rFonts w:asciiTheme="majorHAnsi" w:hAnsiTheme="majorHAnsi" w:cs="Arial"/>
          <w:bCs/>
          <w:szCs w:val="20"/>
        </w:rPr>
      </w:pPr>
    </w:p>
    <w:p w:rsidR="003B2FB3" w:rsidRPr="003B2FB3" w:rsidRDefault="003B2FB3" w:rsidP="003B2FB3">
      <w:pPr>
        <w:jc w:val="both"/>
        <w:rPr>
          <w:rFonts w:asciiTheme="majorHAnsi" w:hAnsiTheme="majorHAnsi" w:cs="Arial"/>
          <w:bCs/>
          <w:szCs w:val="20"/>
        </w:rPr>
      </w:pPr>
      <w:r w:rsidRPr="003B2FB3">
        <w:rPr>
          <w:rFonts w:asciiTheme="majorHAnsi" w:hAnsiTheme="majorHAnsi" w:cs="Arial"/>
          <w:bCs/>
          <w:szCs w:val="20"/>
        </w:rPr>
        <w:t>Appropriate interim financial statements and reports of financial position, operating results and other pertinent information will be prepared to facilitate management control of financial operations.</w:t>
      </w:r>
    </w:p>
    <w:p w:rsidR="003B2FB3" w:rsidRPr="003B2FB3" w:rsidRDefault="003B2FB3" w:rsidP="003B2FB3">
      <w:pPr>
        <w:jc w:val="both"/>
        <w:rPr>
          <w:rFonts w:asciiTheme="majorHAnsi" w:hAnsiTheme="majorHAnsi" w:cs="Arial"/>
          <w:b/>
          <w:bCs/>
          <w:szCs w:val="20"/>
        </w:rPr>
      </w:pPr>
    </w:p>
    <w:p w:rsidR="003B2FB3" w:rsidRPr="003B2FB3" w:rsidRDefault="003B2FB3" w:rsidP="003B2FB3">
      <w:pPr>
        <w:jc w:val="both"/>
        <w:rPr>
          <w:rFonts w:asciiTheme="majorHAnsi" w:hAnsiTheme="majorHAnsi" w:cs="Arial"/>
          <w:b/>
          <w:bCs/>
          <w:szCs w:val="20"/>
        </w:rPr>
      </w:pPr>
    </w:p>
    <w:p w:rsidR="003B2FB3" w:rsidRPr="003B2FB3" w:rsidRDefault="003B2FB3" w:rsidP="003B2FB3">
      <w:pPr>
        <w:jc w:val="both"/>
        <w:rPr>
          <w:rFonts w:asciiTheme="majorHAnsi" w:hAnsiTheme="majorHAnsi" w:cs="Arial"/>
          <w:b/>
          <w:bCs/>
          <w:szCs w:val="20"/>
        </w:rPr>
      </w:pPr>
    </w:p>
    <w:p w:rsidR="003B2FB3" w:rsidRPr="003B2FB3" w:rsidRDefault="003B2FB3" w:rsidP="003B2FB3">
      <w:pPr>
        <w:jc w:val="both"/>
        <w:rPr>
          <w:rFonts w:asciiTheme="majorHAnsi" w:hAnsiTheme="majorHAnsi" w:cs="Arial"/>
          <w:b/>
          <w:bCs/>
          <w:szCs w:val="20"/>
        </w:rPr>
      </w:pPr>
      <w:r w:rsidRPr="003B2FB3">
        <w:rPr>
          <w:rFonts w:asciiTheme="majorHAnsi" w:hAnsiTheme="majorHAnsi" w:cs="Arial"/>
          <w:b/>
          <w:bCs/>
          <w:szCs w:val="20"/>
          <w:u w:val="single"/>
        </w:rPr>
        <w:t>Audits</w:t>
      </w:r>
    </w:p>
    <w:p w:rsidR="003B2FB3" w:rsidRPr="003B2FB3" w:rsidRDefault="003B2FB3" w:rsidP="003B2FB3">
      <w:pPr>
        <w:jc w:val="both"/>
        <w:rPr>
          <w:rFonts w:asciiTheme="majorHAnsi" w:hAnsiTheme="majorHAnsi" w:cs="Arial"/>
          <w:bCs/>
          <w:szCs w:val="20"/>
        </w:rPr>
      </w:pPr>
      <w:r w:rsidRPr="003B2FB3">
        <w:rPr>
          <w:rFonts w:asciiTheme="majorHAnsi" w:hAnsiTheme="majorHAnsi" w:cs="Arial"/>
          <w:bCs/>
          <w:szCs w:val="20"/>
        </w:rPr>
        <w:t>The Board directs that District audits shall be conducted in accordance with Montana law.  Each audit shall be a comprehensive audit of the affairs of the School District and the District funds.  The audits shall comply with all statutory provisions and generally accepted governmental auditing standards.  Each audit may be made every two years and cover the immediately preceding two fiscal years, or it may be conducted annually.  The staff of the Department of Commerce or an independent auditor under the rules and regulations established by the Department of Commerce will conduct District audits.</w:t>
      </w:r>
    </w:p>
    <w:p w:rsidR="003B2FB3" w:rsidRPr="003B2FB3" w:rsidRDefault="003B2FB3" w:rsidP="003B2FB3">
      <w:pPr>
        <w:jc w:val="both"/>
        <w:rPr>
          <w:rFonts w:asciiTheme="majorHAnsi" w:hAnsiTheme="majorHAnsi" w:cs="Arial"/>
          <w:b/>
          <w:bCs/>
          <w:szCs w:val="20"/>
        </w:rPr>
      </w:pPr>
    </w:p>
    <w:p w:rsidR="003B2FB3" w:rsidRPr="003B2FB3" w:rsidRDefault="003B2FB3" w:rsidP="003B2FB3">
      <w:pPr>
        <w:jc w:val="both"/>
        <w:rPr>
          <w:rFonts w:asciiTheme="majorHAnsi" w:hAnsiTheme="majorHAnsi" w:cs="Arial"/>
          <w:b/>
          <w:bCs/>
          <w:szCs w:val="20"/>
        </w:rPr>
      </w:pPr>
    </w:p>
    <w:p w:rsidR="003B2FB3" w:rsidRPr="003B2FB3" w:rsidRDefault="003B2FB3" w:rsidP="003B2FB3">
      <w:pPr>
        <w:jc w:val="both"/>
        <w:rPr>
          <w:rFonts w:asciiTheme="majorHAnsi" w:hAnsiTheme="majorHAnsi" w:cs="Arial"/>
          <w:b/>
          <w:bCs/>
          <w:szCs w:val="20"/>
        </w:rPr>
      </w:pPr>
    </w:p>
    <w:p w:rsidR="003B2FB3" w:rsidRPr="003B2FB3" w:rsidRDefault="003B2FB3" w:rsidP="003B2FB3">
      <w:pPr>
        <w:jc w:val="both"/>
        <w:rPr>
          <w:rFonts w:asciiTheme="majorHAnsi" w:hAnsiTheme="majorHAnsi" w:cs="Arial"/>
          <w:b/>
          <w:bCs/>
          <w:szCs w:val="20"/>
        </w:rPr>
      </w:pPr>
    </w:p>
    <w:p w:rsidR="003B2FB3" w:rsidRPr="003B2FB3" w:rsidRDefault="003B2FB3" w:rsidP="003B2FB3">
      <w:pPr>
        <w:jc w:val="both"/>
        <w:rPr>
          <w:rFonts w:asciiTheme="majorHAnsi" w:hAnsiTheme="majorHAnsi" w:cs="Arial"/>
          <w:b/>
          <w:bCs/>
          <w:szCs w:val="20"/>
        </w:rPr>
      </w:pPr>
    </w:p>
    <w:p w:rsidR="003B2FB3" w:rsidRPr="003B2FB3" w:rsidRDefault="003B2FB3" w:rsidP="003B2FB3">
      <w:pPr>
        <w:jc w:val="both"/>
        <w:rPr>
          <w:rFonts w:asciiTheme="majorHAnsi" w:hAnsiTheme="majorHAnsi" w:cs="Arial"/>
          <w:b/>
          <w:bCs/>
          <w:szCs w:val="20"/>
        </w:rPr>
      </w:pPr>
    </w:p>
    <w:p w:rsidR="003B2FB3" w:rsidRPr="003B2FB3" w:rsidRDefault="003B2FB3" w:rsidP="003B2FB3">
      <w:pPr>
        <w:jc w:val="both"/>
        <w:rPr>
          <w:rFonts w:asciiTheme="majorHAnsi" w:hAnsiTheme="majorHAnsi" w:cs="Arial"/>
          <w:b/>
          <w:bCs/>
          <w:szCs w:val="20"/>
        </w:rPr>
      </w:pPr>
    </w:p>
    <w:p w:rsidR="003B2FB3" w:rsidRPr="003B2FB3" w:rsidRDefault="003B2FB3" w:rsidP="003B2FB3">
      <w:pPr>
        <w:jc w:val="both"/>
        <w:rPr>
          <w:rFonts w:asciiTheme="majorHAnsi" w:hAnsiTheme="majorHAnsi" w:cs="Arial"/>
          <w:b/>
          <w:bCs/>
          <w:szCs w:val="20"/>
        </w:rPr>
      </w:pPr>
    </w:p>
    <w:p w:rsidR="003B2FB3" w:rsidRPr="003B2FB3" w:rsidRDefault="003B2FB3" w:rsidP="003B2FB3">
      <w:pPr>
        <w:jc w:val="both"/>
        <w:rPr>
          <w:rFonts w:asciiTheme="majorHAnsi" w:hAnsiTheme="majorHAnsi" w:cs="Arial"/>
          <w:b/>
          <w:bCs/>
          <w:szCs w:val="20"/>
        </w:rPr>
      </w:pPr>
    </w:p>
    <w:p w:rsidR="003B2FB3" w:rsidRPr="003B2FB3" w:rsidRDefault="003B2FB3" w:rsidP="003B2FB3">
      <w:pPr>
        <w:jc w:val="both"/>
        <w:rPr>
          <w:rFonts w:asciiTheme="majorHAnsi" w:hAnsiTheme="majorHAnsi" w:cs="Arial"/>
          <w:b/>
          <w:bCs/>
          <w:szCs w:val="20"/>
        </w:rPr>
      </w:pPr>
    </w:p>
    <w:p w:rsidR="003B2FB3" w:rsidRPr="003B2FB3" w:rsidRDefault="003B2FB3" w:rsidP="003B2FB3">
      <w:pPr>
        <w:jc w:val="both"/>
        <w:rPr>
          <w:rFonts w:asciiTheme="majorHAnsi" w:hAnsiTheme="majorHAnsi" w:cs="Arial"/>
          <w:b/>
          <w:bCs/>
          <w:szCs w:val="20"/>
        </w:rPr>
      </w:pPr>
    </w:p>
    <w:p w:rsidR="003B2FB3" w:rsidRPr="003B2FB3" w:rsidRDefault="003B2FB3" w:rsidP="003B2FB3">
      <w:pPr>
        <w:jc w:val="both"/>
        <w:rPr>
          <w:rFonts w:asciiTheme="majorHAnsi" w:hAnsiTheme="majorHAnsi" w:cs="Arial"/>
          <w:b/>
          <w:bCs/>
          <w:szCs w:val="20"/>
        </w:rPr>
      </w:pPr>
    </w:p>
    <w:p w:rsidR="003B2FB3" w:rsidRPr="003B2FB3" w:rsidRDefault="003B2FB3" w:rsidP="003B2FB3">
      <w:pPr>
        <w:jc w:val="both"/>
        <w:rPr>
          <w:rFonts w:asciiTheme="majorHAnsi" w:hAnsiTheme="majorHAnsi" w:cs="Arial"/>
          <w:b/>
          <w:bCs/>
          <w:szCs w:val="20"/>
        </w:rPr>
      </w:pPr>
    </w:p>
    <w:p w:rsidR="003B2FB3" w:rsidRPr="003B2FB3" w:rsidRDefault="003B2FB3" w:rsidP="003B2FB3">
      <w:pPr>
        <w:jc w:val="both"/>
        <w:rPr>
          <w:rFonts w:asciiTheme="majorHAnsi" w:hAnsiTheme="majorHAnsi" w:cs="Arial"/>
          <w:b/>
          <w:bCs/>
          <w:szCs w:val="20"/>
        </w:rPr>
      </w:pPr>
    </w:p>
    <w:p w:rsidR="003B2FB3" w:rsidRPr="003B2FB3" w:rsidRDefault="003B2FB3" w:rsidP="003B2FB3">
      <w:pPr>
        <w:jc w:val="both"/>
        <w:rPr>
          <w:rFonts w:asciiTheme="majorHAnsi" w:hAnsiTheme="majorHAnsi" w:cs="Arial"/>
          <w:b/>
          <w:bCs/>
          <w:szCs w:val="20"/>
        </w:rPr>
      </w:pPr>
    </w:p>
    <w:p w:rsidR="003B2FB3" w:rsidRPr="003B2FB3" w:rsidRDefault="003B2FB3" w:rsidP="003B2FB3">
      <w:pPr>
        <w:jc w:val="both"/>
        <w:rPr>
          <w:rFonts w:asciiTheme="majorHAnsi" w:hAnsiTheme="majorHAnsi" w:cs="Arial"/>
          <w:b/>
          <w:bCs/>
          <w:szCs w:val="20"/>
        </w:rPr>
      </w:pPr>
    </w:p>
    <w:p w:rsidR="003B2FB3" w:rsidRPr="003B2FB3" w:rsidRDefault="003B2FB3" w:rsidP="003B2FB3">
      <w:pPr>
        <w:jc w:val="both"/>
        <w:rPr>
          <w:rFonts w:asciiTheme="majorHAnsi" w:hAnsiTheme="majorHAnsi" w:cs="Arial"/>
          <w:b/>
          <w:bCs/>
          <w:szCs w:val="20"/>
        </w:rPr>
      </w:pPr>
    </w:p>
    <w:p w:rsidR="003B2FB3" w:rsidRPr="003B2FB3" w:rsidRDefault="003B2FB3" w:rsidP="003B2FB3">
      <w:pPr>
        <w:jc w:val="both"/>
        <w:rPr>
          <w:rFonts w:asciiTheme="majorHAnsi" w:hAnsiTheme="majorHAnsi" w:cs="Arial"/>
          <w:b/>
          <w:bCs/>
          <w:szCs w:val="20"/>
        </w:rPr>
      </w:pPr>
    </w:p>
    <w:p w:rsidR="003B2FB3" w:rsidRDefault="003B2FB3" w:rsidP="003B2FB3">
      <w:pPr>
        <w:jc w:val="both"/>
        <w:rPr>
          <w:rFonts w:asciiTheme="majorHAnsi" w:hAnsiTheme="majorHAnsi" w:cs="Arial"/>
          <w:b/>
          <w:bCs/>
          <w:szCs w:val="20"/>
        </w:rPr>
      </w:pPr>
    </w:p>
    <w:p w:rsidR="008637C0" w:rsidRDefault="008637C0" w:rsidP="003B2FB3">
      <w:pPr>
        <w:jc w:val="both"/>
        <w:rPr>
          <w:rFonts w:asciiTheme="majorHAnsi" w:hAnsiTheme="majorHAnsi" w:cs="Arial"/>
          <w:b/>
          <w:bCs/>
          <w:szCs w:val="20"/>
        </w:rPr>
      </w:pPr>
    </w:p>
    <w:p w:rsidR="008637C0" w:rsidRPr="003B2FB3" w:rsidRDefault="008637C0" w:rsidP="003B2FB3">
      <w:pPr>
        <w:jc w:val="both"/>
        <w:rPr>
          <w:rFonts w:asciiTheme="majorHAnsi" w:hAnsiTheme="majorHAnsi" w:cs="Arial"/>
          <w:b/>
          <w:bCs/>
          <w:szCs w:val="20"/>
        </w:rPr>
      </w:pPr>
      <w:bookmarkStart w:id="0" w:name="_GoBack"/>
      <w:bookmarkEnd w:id="0"/>
    </w:p>
    <w:p w:rsidR="003B2FB3" w:rsidRPr="003B2FB3" w:rsidRDefault="003B2FB3" w:rsidP="003B2FB3">
      <w:pPr>
        <w:jc w:val="both"/>
        <w:rPr>
          <w:rFonts w:asciiTheme="majorHAnsi" w:hAnsiTheme="majorHAnsi" w:cs="Arial"/>
          <w:b/>
          <w:bCs/>
          <w:szCs w:val="20"/>
        </w:rPr>
      </w:pPr>
    </w:p>
    <w:p w:rsidR="003B2FB3" w:rsidRPr="003B2FB3" w:rsidRDefault="003B2FB3" w:rsidP="003B2FB3">
      <w:pPr>
        <w:jc w:val="both"/>
        <w:rPr>
          <w:rFonts w:asciiTheme="majorHAnsi" w:hAnsiTheme="majorHAnsi" w:cs="Arial"/>
          <w:b/>
          <w:bCs/>
          <w:szCs w:val="20"/>
        </w:rPr>
      </w:pPr>
    </w:p>
    <w:p w:rsidR="003B2FB3" w:rsidRPr="003B2FB3" w:rsidRDefault="003B2FB3" w:rsidP="003B2FB3">
      <w:pPr>
        <w:jc w:val="both"/>
        <w:rPr>
          <w:rFonts w:asciiTheme="majorHAnsi" w:hAnsiTheme="majorHAnsi" w:cs="Arial"/>
          <w:b/>
          <w:bCs/>
          <w:szCs w:val="20"/>
        </w:rPr>
      </w:pPr>
    </w:p>
    <w:p w:rsidR="003B2FB3" w:rsidRPr="003B2FB3" w:rsidRDefault="003B2FB3" w:rsidP="003B2FB3">
      <w:pPr>
        <w:jc w:val="both"/>
        <w:rPr>
          <w:rFonts w:asciiTheme="majorHAnsi" w:hAnsiTheme="majorHAnsi" w:cs="Arial"/>
          <w:b/>
          <w:bCs/>
          <w:szCs w:val="20"/>
        </w:rPr>
      </w:pPr>
    </w:p>
    <w:p w:rsidR="003B2FB3" w:rsidRPr="003B2FB3" w:rsidRDefault="003B2FB3" w:rsidP="003B2FB3">
      <w:pPr>
        <w:jc w:val="both"/>
        <w:rPr>
          <w:rFonts w:asciiTheme="majorHAnsi" w:hAnsiTheme="majorHAnsi" w:cs="Arial"/>
          <w:b/>
          <w:bCs/>
          <w:szCs w:val="20"/>
        </w:rPr>
      </w:pPr>
    </w:p>
    <w:p w:rsidR="003B2FB3" w:rsidRPr="003B2FB3" w:rsidRDefault="003B2FB3" w:rsidP="003B2FB3">
      <w:pPr>
        <w:jc w:val="both"/>
        <w:rPr>
          <w:rFonts w:asciiTheme="majorHAnsi" w:hAnsiTheme="majorHAnsi" w:cs="Arial"/>
          <w:bCs/>
          <w:szCs w:val="20"/>
        </w:rPr>
      </w:pPr>
      <w:r w:rsidRPr="003B2FB3">
        <w:rPr>
          <w:rFonts w:asciiTheme="majorHAnsi" w:hAnsiTheme="majorHAnsi" w:cs="Arial"/>
          <w:b/>
          <w:bCs/>
          <w:szCs w:val="20"/>
        </w:rPr>
        <w:t>Legal Reference</w:t>
      </w:r>
      <w:r w:rsidRPr="003B2FB3">
        <w:rPr>
          <w:rFonts w:asciiTheme="majorHAnsi" w:hAnsiTheme="majorHAnsi" w:cs="Arial"/>
          <w:bCs/>
          <w:szCs w:val="20"/>
        </w:rPr>
        <w:t>:</w:t>
      </w:r>
      <w:r w:rsidRPr="003B2FB3">
        <w:rPr>
          <w:rFonts w:asciiTheme="majorHAnsi" w:hAnsiTheme="majorHAnsi" w:cs="Arial"/>
          <w:bCs/>
          <w:szCs w:val="20"/>
        </w:rPr>
        <w:tab/>
      </w:r>
      <w:r w:rsidRPr="003B2FB3">
        <w:rPr>
          <w:rFonts w:asciiTheme="majorHAnsi" w:hAnsiTheme="majorHAnsi"/>
          <w:bCs/>
        </w:rPr>
        <w:t>§</w:t>
      </w:r>
      <w:r>
        <w:rPr>
          <w:rFonts w:asciiTheme="majorHAnsi" w:hAnsiTheme="majorHAnsi" w:cs="Arial"/>
          <w:bCs/>
          <w:szCs w:val="20"/>
        </w:rPr>
        <w:t>2-7-501 et seq., MCA</w:t>
      </w:r>
      <w:r>
        <w:rPr>
          <w:rFonts w:asciiTheme="majorHAnsi" w:hAnsiTheme="majorHAnsi" w:cs="Arial"/>
          <w:bCs/>
          <w:szCs w:val="20"/>
        </w:rPr>
        <w:tab/>
        <w:t>D</w:t>
      </w:r>
      <w:r w:rsidRPr="003B2FB3">
        <w:rPr>
          <w:rFonts w:asciiTheme="majorHAnsi" w:hAnsiTheme="majorHAnsi" w:cs="Arial"/>
          <w:bCs/>
          <w:szCs w:val="20"/>
        </w:rPr>
        <w:t>efinitions</w:t>
      </w:r>
    </w:p>
    <w:p w:rsidR="003B2FB3" w:rsidRPr="003B2FB3" w:rsidRDefault="003B2FB3" w:rsidP="003B2FB3">
      <w:pPr>
        <w:tabs>
          <w:tab w:val="left" w:pos="-1440"/>
        </w:tabs>
        <w:jc w:val="both"/>
        <w:rPr>
          <w:rFonts w:asciiTheme="majorHAnsi" w:hAnsiTheme="majorHAnsi" w:cs="Arial"/>
          <w:bCs/>
          <w:szCs w:val="20"/>
        </w:rPr>
      </w:pPr>
      <w:r>
        <w:rPr>
          <w:rFonts w:asciiTheme="majorHAnsi" w:hAnsiTheme="majorHAnsi"/>
          <w:bCs/>
        </w:rPr>
        <w:tab/>
      </w:r>
      <w:r>
        <w:rPr>
          <w:rFonts w:asciiTheme="majorHAnsi" w:hAnsiTheme="majorHAnsi"/>
          <w:bCs/>
        </w:rPr>
        <w:tab/>
      </w:r>
      <w:r>
        <w:rPr>
          <w:rFonts w:asciiTheme="majorHAnsi" w:hAnsiTheme="majorHAnsi"/>
          <w:bCs/>
        </w:rPr>
        <w:tab/>
      </w:r>
      <w:r w:rsidRPr="003B2FB3">
        <w:rPr>
          <w:rFonts w:asciiTheme="majorHAnsi" w:hAnsiTheme="majorHAnsi"/>
          <w:bCs/>
        </w:rPr>
        <w:t>§</w:t>
      </w:r>
      <w:r>
        <w:rPr>
          <w:rFonts w:asciiTheme="majorHAnsi" w:hAnsiTheme="majorHAnsi" w:cs="Arial"/>
          <w:bCs/>
          <w:szCs w:val="20"/>
        </w:rPr>
        <w:t>20-9-212, MCA</w:t>
      </w:r>
      <w:r>
        <w:rPr>
          <w:rFonts w:asciiTheme="majorHAnsi" w:hAnsiTheme="majorHAnsi" w:cs="Arial"/>
          <w:bCs/>
          <w:szCs w:val="20"/>
        </w:rPr>
        <w:tab/>
      </w:r>
      <w:r>
        <w:rPr>
          <w:rFonts w:asciiTheme="majorHAnsi" w:hAnsiTheme="majorHAnsi" w:cs="Arial"/>
          <w:bCs/>
          <w:szCs w:val="20"/>
        </w:rPr>
        <w:tab/>
      </w:r>
      <w:r w:rsidRPr="003B2FB3">
        <w:rPr>
          <w:rFonts w:asciiTheme="majorHAnsi" w:hAnsiTheme="majorHAnsi" w:cs="Arial"/>
          <w:bCs/>
          <w:szCs w:val="20"/>
        </w:rPr>
        <w:t>Duties of county treasurer</w:t>
      </w:r>
    </w:p>
    <w:p w:rsidR="003B2FB3" w:rsidRPr="003B2FB3" w:rsidRDefault="003B2FB3" w:rsidP="003B2FB3">
      <w:pPr>
        <w:ind w:left="1440" w:firstLine="720"/>
        <w:jc w:val="both"/>
        <w:rPr>
          <w:rFonts w:asciiTheme="majorHAnsi" w:hAnsiTheme="majorHAnsi" w:cs="Arial"/>
          <w:bCs/>
          <w:szCs w:val="20"/>
        </w:rPr>
      </w:pPr>
      <w:r w:rsidRPr="003B2FB3">
        <w:rPr>
          <w:rFonts w:asciiTheme="majorHAnsi" w:hAnsiTheme="majorHAnsi"/>
          <w:bCs/>
        </w:rPr>
        <w:t>§</w:t>
      </w:r>
      <w:r w:rsidRPr="003B2FB3">
        <w:rPr>
          <w:rFonts w:asciiTheme="majorHAnsi" w:hAnsiTheme="majorHAnsi" w:cs="Arial"/>
          <w:bCs/>
          <w:szCs w:val="20"/>
        </w:rPr>
        <w:t xml:space="preserve">20-9-213, MCA             </w:t>
      </w:r>
      <w:r w:rsidRPr="003B2FB3">
        <w:rPr>
          <w:rFonts w:asciiTheme="majorHAnsi" w:hAnsiTheme="majorHAnsi" w:cs="Arial"/>
          <w:bCs/>
          <w:szCs w:val="20"/>
        </w:rPr>
        <w:tab/>
        <w:t>Duties of trustees</w:t>
      </w:r>
    </w:p>
    <w:p w:rsidR="003B2FB3" w:rsidRPr="003B2FB3" w:rsidRDefault="003B2FB3" w:rsidP="003B2FB3">
      <w:pPr>
        <w:tabs>
          <w:tab w:val="left" w:pos="4140"/>
        </w:tabs>
        <w:jc w:val="both"/>
        <w:rPr>
          <w:rFonts w:asciiTheme="majorHAnsi" w:hAnsiTheme="majorHAnsi" w:cs="Arial"/>
          <w:bCs/>
          <w:szCs w:val="20"/>
        </w:rPr>
      </w:pPr>
    </w:p>
    <w:p w:rsidR="003B2FB3" w:rsidRPr="003B2FB3" w:rsidRDefault="003B2FB3" w:rsidP="003B2FB3">
      <w:pPr>
        <w:tabs>
          <w:tab w:val="left" w:pos="4140"/>
        </w:tabs>
        <w:jc w:val="both"/>
        <w:rPr>
          <w:rFonts w:asciiTheme="majorHAnsi" w:hAnsiTheme="majorHAnsi" w:cs="Arial"/>
          <w:bCs/>
          <w:szCs w:val="20"/>
        </w:rPr>
      </w:pPr>
    </w:p>
    <w:p w:rsidR="003B2FB3" w:rsidRPr="003B2FB3" w:rsidRDefault="003B2FB3" w:rsidP="003B2FB3">
      <w:pPr>
        <w:tabs>
          <w:tab w:val="left" w:pos="4140"/>
        </w:tabs>
        <w:jc w:val="both"/>
        <w:rPr>
          <w:rFonts w:asciiTheme="majorHAnsi" w:hAnsiTheme="majorHAnsi" w:cs="Arial"/>
          <w:bCs/>
          <w:szCs w:val="20"/>
        </w:rPr>
      </w:pPr>
      <w:r w:rsidRPr="003B2FB3">
        <w:rPr>
          <w:rFonts w:asciiTheme="majorHAnsi" w:hAnsiTheme="majorHAnsi" w:cs="Arial"/>
          <w:bCs/>
          <w:szCs w:val="20"/>
          <w:u w:val="single"/>
        </w:rPr>
        <w:t>Policy History:</w:t>
      </w:r>
    </w:p>
    <w:p w:rsidR="003B2FB3" w:rsidRPr="003B2FB3" w:rsidRDefault="003B2FB3" w:rsidP="003B2FB3">
      <w:pPr>
        <w:tabs>
          <w:tab w:val="left" w:pos="4140"/>
        </w:tabs>
        <w:jc w:val="both"/>
        <w:rPr>
          <w:rFonts w:asciiTheme="majorHAnsi" w:hAnsiTheme="majorHAnsi" w:cs="Arial"/>
          <w:bCs/>
          <w:szCs w:val="20"/>
        </w:rPr>
      </w:pPr>
      <w:r w:rsidRPr="003B2FB3">
        <w:rPr>
          <w:rFonts w:asciiTheme="majorHAnsi" w:hAnsiTheme="majorHAnsi" w:cs="Arial"/>
          <w:bCs/>
          <w:szCs w:val="20"/>
        </w:rPr>
        <w:t>Adopted on:</w:t>
      </w:r>
    </w:p>
    <w:p w:rsidR="008529EA" w:rsidRPr="003B2FB3" w:rsidRDefault="003B2FB3" w:rsidP="003B2FB3">
      <w:pPr>
        <w:tabs>
          <w:tab w:val="left" w:pos="4140"/>
        </w:tabs>
        <w:jc w:val="both"/>
        <w:rPr>
          <w:rFonts w:asciiTheme="majorHAnsi" w:hAnsiTheme="majorHAnsi" w:cs="Arial"/>
          <w:bCs/>
          <w:szCs w:val="20"/>
        </w:rPr>
      </w:pPr>
      <w:r w:rsidRPr="003B2FB3">
        <w:rPr>
          <w:rFonts w:asciiTheme="majorHAnsi" w:hAnsiTheme="majorHAnsi" w:cs="Arial"/>
          <w:bCs/>
          <w:szCs w:val="20"/>
        </w:rPr>
        <w:t>Revised on:</w:t>
      </w:r>
    </w:p>
    <w:sectPr w:rsidR="008529EA" w:rsidRPr="003B2F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FB3"/>
    <w:rsid w:val="00140D55"/>
    <w:rsid w:val="00293F9C"/>
    <w:rsid w:val="003B2FB3"/>
    <w:rsid w:val="00863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FB3"/>
    <w:pPr>
      <w:widowControl w:val="0"/>
      <w:autoSpaceDE w:val="0"/>
      <w:autoSpaceDN w:val="0"/>
      <w:adjustRightInd w:val="0"/>
      <w:spacing w:after="0" w:line="240" w:lineRule="auto"/>
    </w:pPr>
    <w:rPr>
      <w:rFonts w:ascii="MS Mincho" w:eastAsia="MS Mincho"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FB3"/>
    <w:pPr>
      <w:widowControl w:val="0"/>
      <w:autoSpaceDE w:val="0"/>
      <w:autoSpaceDN w:val="0"/>
      <w:adjustRightInd w:val="0"/>
      <w:spacing w:after="0" w:line="240" w:lineRule="auto"/>
    </w:pPr>
    <w:rPr>
      <w:rFonts w:ascii="MS Mincho" w:eastAsia="MS Mincho"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Schenk</dc:creator>
  <cp:lastModifiedBy>Schenk</cp:lastModifiedBy>
  <cp:revision>2</cp:revision>
  <dcterms:created xsi:type="dcterms:W3CDTF">2019-07-15T21:38:00Z</dcterms:created>
  <dcterms:modified xsi:type="dcterms:W3CDTF">2019-08-10T23:18:00Z</dcterms:modified>
</cp:coreProperties>
</file>