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39" w:rsidRPr="00971E39" w:rsidRDefault="006B6857" w:rsidP="006B6857">
      <w:pPr>
        <w:tabs>
          <w:tab w:val="right" w:pos="9000"/>
        </w:tabs>
        <w:suppressAutoHyphens/>
        <w:spacing w:line="240" w:lineRule="atLeast"/>
        <w:jc w:val="both"/>
        <w:rPr>
          <w:rFonts w:asciiTheme="majorHAnsi" w:hAnsiTheme="majorHAnsi"/>
          <w:b/>
          <w:spacing w:val="-2"/>
          <w:sz w:val="20"/>
        </w:rPr>
      </w:pPr>
      <w:r>
        <w:rPr>
          <w:rFonts w:asciiTheme="majorHAnsi" w:hAnsiTheme="majorHAnsi"/>
          <w:b/>
          <w:spacing w:val="-2"/>
          <w:sz w:val="20"/>
        </w:rPr>
        <w:t>INSTRUCTION</w:t>
      </w:r>
      <w:r>
        <w:rPr>
          <w:rFonts w:asciiTheme="majorHAnsi" w:hAnsiTheme="majorHAnsi"/>
          <w:b/>
          <w:spacing w:val="-2"/>
          <w:sz w:val="20"/>
        </w:rPr>
        <w:tab/>
      </w:r>
      <w:r w:rsidR="00971E39" w:rsidRPr="00971E39">
        <w:rPr>
          <w:rFonts w:asciiTheme="majorHAnsi" w:hAnsiTheme="majorHAnsi"/>
          <w:b/>
          <w:spacing w:val="-2"/>
          <w:sz w:val="20"/>
        </w:rPr>
        <w:t>2130</w:t>
      </w:r>
    </w:p>
    <w:p w:rsidR="00971E39" w:rsidRPr="00971E39" w:rsidRDefault="00971E39" w:rsidP="00BA3913">
      <w:pPr>
        <w:suppressAutoHyphens/>
        <w:spacing w:line="240" w:lineRule="atLeast"/>
        <w:jc w:val="both"/>
        <w:rPr>
          <w:rFonts w:asciiTheme="majorHAnsi" w:hAnsiTheme="majorHAnsi"/>
          <w:b/>
          <w:spacing w:val="-2"/>
          <w:sz w:val="20"/>
          <w:u w:val="single"/>
        </w:rPr>
      </w:pPr>
    </w:p>
    <w:p w:rsidR="00971E39" w:rsidRPr="00971E39" w:rsidRDefault="00971E39" w:rsidP="00BA3913">
      <w:pPr>
        <w:suppressAutoHyphens/>
        <w:spacing w:line="240" w:lineRule="atLeast"/>
        <w:jc w:val="both"/>
        <w:rPr>
          <w:rFonts w:asciiTheme="majorHAnsi" w:hAnsiTheme="majorHAnsi"/>
          <w:b/>
          <w:spacing w:val="-2"/>
          <w:sz w:val="20"/>
        </w:rPr>
      </w:pPr>
      <w:r w:rsidRPr="00971E39">
        <w:rPr>
          <w:rFonts w:asciiTheme="majorHAnsi" w:hAnsiTheme="majorHAnsi"/>
          <w:b/>
          <w:spacing w:val="-2"/>
          <w:sz w:val="20"/>
          <w:u w:val="single"/>
        </w:rPr>
        <w:t>District Assessment</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 xml:space="preserve">In all program areas and at all levels, the District shall assess student progress toward meeting state student performance standards including: the content and data; the accomplishment of appropriate skills; the development of critical thinking and reasoning; and attitude.  The District will use assessment results to improve the education program and use effective and appropriate tools for assessing both student and program progress. This may include but is not limited to: standardized norm and criterion-referenced tests; teacher-made tests; on-going classroom evaluation; actual communication assessments such as writing, speaking, and listening assessments; samples of student work and/or narrative reports passed from grade to grade; samples of students' creative and/or performance work; and surveys of carryover skills to other program areas and outside of school.  </w:t>
      </w:r>
    </w:p>
    <w:p w:rsidR="00971E39" w:rsidRPr="00971E39" w:rsidRDefault="00971E39" w:rsidP="00BA3913">
      <w:pPr>
        <w:suppressAutoHyphens/>
        <w:spacing w:line="240" w:lineRule="atLeast"/>
        <w:jc w:val="both"/>
        <w:rPr>
          <w:rFonts w:asciiTheme="majorHAnsi" w:hAnsiTheme="majorHAnsi"/>
          <w:b/>
          <w:spacing w:val="-2"/>
          <w:sz w:val="20"/>
        </w:rPr>
      </w:pPr>
    </w:p>
    <w:p w:rsidR="00971E39" w:rsidRPr="00971E39" w:rsidRDefault="00971E39" w:rsidP="00BA3913">
      <w:pPr>
        <w:suppressAutoHyphens/>
        <w:spacing w:line="240" w:lineRule="atLeast"/>
        <w:jc w:val="both"/>
        <w:rPr>
          <w:rFonts w:asciiTheme="majorHAnsi" w:hAnsiTheme="majorHAnsi"/>
          <w:b/>
          <w:spacing w:val="-2"/>
          <w:sz w:val="20"/>
        </w:rPr>
      </w:pPr>
      <w:r w:rsidRPr="00971E39">
        <w:rPr>
          <w:rFonts w:asciiTheme="majorHAnsi" w:hAnsiTheme="majorHAnsi"/>
          <w:b/>
          <w:spacing w:val="-2"/>
          <w:sz w:val="20"/>
          <w:u w:val="single"/>
        </w:rPr>
        <w:t>Program Evaluation and Diagnostic Tests</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The Board strives to achieve efficiency and effectiveness in all facets of its operations.  In order to achieve this goal, the Board shall strive to set forth:</w:t>
      </w:r>
    </w:p>
    <w:p w:rsidR="00971E39" w:rsidRPr="00BA3913" w:rsidRDefault="00971E39" w:rsidP="00BA3913">
      <w:pPr>
        <w:pStyle w:val="ListParagraph"/>
        <w:numPr>
          <w:ilvl w:val="0"/>
          <w:numId w:val="2"/>
        </w:numPr>
        <w:suppressAutoHyphens/>
        <w:spacing w:line="240" w:lineRule="atLeast"/>
        <w:jc w:val="both"/>
        <w:rPr>
          <w:rFonts w:asciiTheme="majorHAnsi" w:hAnsiTheme="majorHAnsi"/>
          <w:spacing w:val="-2"/>
          <w:sz w:val="20"/>
        </w:rPr>
      </w:pPr>
      <w:r w:rsidRPr="00BA3913">
        <w:rPr>
          <w:rFonts w:asciiTheme="majorHAnsi" w:hAnsiTheme="majorHAnsi"/>
          <w:spacing w:val="-2"/>
          <w:sz w:val="20"/>
        </w:rPr>
        <w:t>A clear statement of expectations and purposes for the District's instructional program;</w:t>
      </w:r>
    </w:p>
    <w:p w:rsidR="00971E39" w:rsidRPr="00BA3913" w:rsidRDefault="00971E39" w:rsidP="00BA3913">
      <w:pPr>
        <w:pStyle w:val="ListParagraph"/>
        <w:numPr>
          <w:ilvl w:val="0"/>
          <w:numId w:val="2"/>
        </w:numPr>
        <w:suppressAutoHyphens/>
        <w:spacing w:line="240" w:lineRule="atLeast"/>
        <w:jc w:val="both"/>
        <w:rPr>
          <w:rFonts w:asciiTheme="majorHAnsi" w:hAnsiTheme="majorHAnsi"/>
          <w:spacing w:val="-2"/>
          <w:sz w:val="20"/>
        </w:rPr>
      </w:pPr>
      <w:r w:rsidRPr="00BA3913">
        <w:rPr>
          <w:rFonts w:asciiTheme="majorHAnsi" w:hAnsiTheme="majorHAnsi"/>
          <w:spacing w:val="-2"/>
          <w:sz w:val="20"/>
        </w:rPr>
        <w:t>A provision for staff, resources and support to achieve the stated expectations and purposes; and,</w:t>
      </w:r>
    </w:p>
    <w:p w:rsidR="00971E39" w:rsidRPr="00BA3913" w:rsidRDefault="00971E39" w:rsidP="00BA3913">
      <w:pPr>
        <w:pStyle w:val="ListParagraph"/>
        <w:numPr>
          <w:ilvl w:val="0"/>
          <w:numId w:val="2"/>
        </w:numPr>
        <w:suppressAutoHyphens/>
        <w:spacing w:line="240" w:lineRule="atLeast"/>
        <w:jc w:val="both"/>
        <w:rPr>
          <w:rFonts w:asciiTheme="majorHAnsi" w:hAnsiTheme="majorHAnsi"/>
          <w:spacing w:val="-2"/>
          <w:sz w:val="20"/>
        </w:rPr>
      </w:pPr>
      <w:r w:rsidRPr="00BA3913">
        <w:rPr>
          <w:rFonts w:asciiTheme="majorHAnsi" w:hAnsiTheme="majorHAnsi"/>
          <w:spacing w:val="-2"/>
          <w:sz w:val="20"/>
        </w:rPr>
        <w:t>A plan for evaluating instructional programs and services to determine how well expectations and purposes are being met.</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Parents who wish to examine any assessment materials may do so by contacting the Supervising Teacher or the Principal.  Parent approval is necessary before administering an individual intelligence test or a diagnostic personality test.  No tests or measurement devices containing any questions about a student's or his/her family's personal beliefs and practices in family life, morality and religion shall be administered unless the parent or guardian gives written permission for the student to take such test, questionnaire or examination.</w:t>
      </w:r>
    </w:p>
    <w:p w:rsidR="00971E39" w:rsidRPr="00971E39" w:rsidRDefault="00971E39" w:rsidP="00BA3913">
      <w:pPr>
        <w:suppressAutoHyphens/>
        <w:spacing w:line="240" w:lineRule="atLeast"/>
        <w:jc w:val="both"/>
        <w:rPr>
          <w:rFonts w:asciiTheme="majorHAnsi" w:hAnsiTheme="majorHAnsi"/>
          <w:b/>
          <w:spacing w:val="-2"/>
          <w:sz w:val="20"/>
        </w:rPr>
      </w:pPr>
    </w:p>
    <w:p w:rsidR="00971E39" w:rsidRPr="00971E39" w:rsidRDefault="00971E39" w:rsidP="00BA3913">
      <w:pPr>
        <w:suppressAutoHyphens/>
        <w:spacing w:line="240" w:lineRule="atLeast"/>
        <w:jc w:val="both"/>
        <w:rPr>
          <w:rFonts w:asciiTheme="majorHAnsi" w:hAnsiTheme="majorHAnsi"/>
          <w:b/>
          <w:spacing w:val="-2"/>
          <w:sz w:val="20"/>
        </w:rPr>
      </w:pPr>
      <w:r w:rsidRPr="00971E39">
        <w:rPr>
          <w:rFonts w:asciiTheme="majorHAnsi" w:hAnsiTheme="majorHAnsi"/>
          <w:b/>
          <w:spacing w:val="-2"/>
          <w:sz w:val="20"/>
          <w:u w:val="single"/>
        </w:rPr>
        <w:t>District-Wide Standardized Testing Program</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 xml:space="preserve">While standardized norm-referenced tests have limitations, they also have some potential to improve the quality of the instructional program.  They can provide some program information at the classroom and school levels.  They can be used to identify some of the strengths and weaknesses in the instructional program, to identify instruction improvement priorities, and, when examined over a period of years, they allow the staff to see trends in the effectiveness of lower level skills in the instructional program.  A state standardized criterion-referenced test will also be administered in grades 3 through 8 in Reading and Mathematics and in Science in grades 4 and 8 to all students except those </w:t>
      </w:r>
      <w:proofErr w:type="gramStart"/>
      <w:r w:rsidRPr="00971E39">
        <w:rPr>
          <w:rFonts w:asciiTheme="majorHAnsi" w:hAnsiTheme="majorHAnsi"/>
          <w:spacing w:val="-2"/>
          <w:sz w:val="20"/>
        </w:rPr>
        <w:t>whose</w:t>
      </w:r>
      <w:proofErr w:type="gramEnd"/>
      <w:r w:rsidRPr="00971E39">
        <w:rPr>
          <w:rFonts w:asciiTheme="majorHAnsi" w:hAnsiTheme="majorHAnsi"/>
          <w:spacing w:val="-2"/>
          <w:sz w:val="20"/>
        </w:rPr>
        <w:t xml:space="preserve"> Individual Education Plans specifically prevent them from participating in the instructional programs in these subject areas.  The tests will be given in the spring under the direction of the Office of Public Instruction.      </w:t>
      </w:r>
    </w:p>
    <w:p w:rsidR="00971E39" w:rsidRPr="00971E39" w:rsidRDefault="00971E39" w:rsidP="00BA3913">
      <w:pPr>
        <w:suppressAutoHyphens/>
        <w:spacing w:line="240" w:lineRule="atLeast"/>
        <w:jc w:val="both"/>
        <w:rPr>
          <w:rFonts w:asciiTheme="majorHAnsi" w:hAnsiTheme="majorHAnsi"/>
          <w:b/>
          <w:spacing w:val="-2"/>
          <w:sz w:val="20"/>
        </w:rPr>
      </w:pPr>
    </w:p>
    <w:p w:rsidR="00971E39" w:rsidRPr="00971E39" w:rsidRDefault="00971E39" w:rsidP="00BA3913">
      <w:pPr>
        <w:suppressAutoHyphens/>
        <w:spacing w:line="240" w:lineRule="atLeast"/>
        <w:jc w:val="both"/>
        <w:rPr>
          <w:rFonts w:asciiTheme="majorHAnsi" w:hAnsiTheme="majorHAnsi"/>
          <w:b/>
          <w:spacing w:val="-2"/>
          <w:sz w:val="20"/>
        </w:rPr>
      </w:pPr>
      <w:r w:rsidRPr="00971E39">
        <w:rPr>
          <w:rFonts w:asciiTheme="majorHAnsi" w:hAnsiTheme="majorHAnsi"/>
          <w:b/>
          <w:spacing w:val="-2"/>
          <w:sz w:val="20"/>
          <w:u w:val="single"/>
        </w:rPr>
        <w:t>School and Classroom Assessment Measures</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The Kester School District #23 recognizes that equally or more important than standardized, norm-reference tests in determining student success in school are classroom assessment measures which provide for a variety of performance assessments, portfolio assessments, criterion reference tests and teacher observation.  Unit plans should reflect utilization of these types of assessment and results should be shared with the student and his/her parent(s)/guardian.  Before the revision of any instructional program, the District will review all the assessment processes, procedures and results to determine if the purposes of the program are being accomplished.</w:t>
      </w:r>
    </w:p>
    <w:p w:rsidR="00971E39" w:rsidRPr="00971E39" w:rsidRDefault="00971E39" w:rsidP="00BA3913">
      <w:pPr>
        <w:suppressAutoHyphens/>
        <w:spacing w:line="240" w:lineRule="atLeast"/>
        <w:jc w:val="both"/>
        <w:rPr>
          <w:rFonts w:asciiTheme="majorHAnsi" w:hAnsiTheme="majorHAnsi"/>
          <w:spacing w:val="-2"/>
          <w:sz w:val="20"/>
        </w:rPr>
      </w:pPr>
    </w:p>
    <w:p w:rsidR="00971E39" w:rsidRPr="00971E39" w:rsidRDefault="00971E39" w:rsidP="00BA3913">
      <w:pPr>
        <w:suppressAutoHyphens/>
        <w:spacing w:line="240" w:lineRule="atLeast"/>
        <w:jc w:val="both"/>
        <w:rPr>
          <w:rFonts w:asciiTheme="majorHAnsi" w:hAnsiTheme="majorHAnsi"/>
          <w:spacing w:val="-2"/>
          <w:sz w:val="20"/>
        </w:rPr>
      </w:pPr>
      <w:r w:rsidRPr="008D0D59">
        <w:rPr>
          <w:rFonts w:asciiTheme="majorHAnsi" w:hAnsiTheme="majorHAnsi"/>
          <w:b/>
          <w:spacing w:val="-2"/>
          <w:sz w:val="20"/>
        </w:rPr>
        <w:t>Legal Reference:</w:t>
      </w:r>
      <w:r w:rsidRPr="00971E39">
        <w:rPr>
          <w:rFonts w:asciiTheme="majorHAnsi" w:hAnsiTheme="majorHAnsi"/>
          <w:spacing w:val="-2"/>
          <w:sz w:val="20"/>
        </w:rPr>
        <w:tab/>
        <w:t>20 USC 1232h</w:t>
      </w:r>
      <w:r w:rsidRPr="00971E39">
        <w:rPr>
          <w:rFonts w:asciiTheme="majorHAnsi" w:hAnsiTheme="majorHAnsi"/>
          <w:spacing w:val="-2"/>
          <w:sz w:val="20"/>
        </w:rPr>
        <w:tab/>
      </w:r>
      <w:r w:rsidRPr="00971E39">
        <w:rPr>
          <w:rFonts w:asciiTheme="majorHAnsi" w:hAnsiTheme="majorHAnsi"/>
          <w:spacing w:val="-2"/>
          <w:sz w:val="20"/>
        </w:rPr>
        <w:tab/>
        <w:t>Protection of Pupil Rights</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ab/>
      </w:r>
      <w:r w:rsidRPr="00971E39">
        <w:rPr>
          <w:rFonts w:asciiTheme="majorHAnsi" w:hAnsiTheme="majorHAnsi"/>
          <w:spacing w:val="-2"/>
          <w:sz w:val="20"/>
        </w:rPr>
        <w:tab/>
      </w:r>
      <w:r w:rsidRPr="00971E39">
        <w:rPr>
          <w:rFonts w:asciiTheme="majorHAnsi" w:hAnsiTheme="majorHAnsi"/>
          <w:spacing w:val="-2"/>
          <w:sz w:val="20"/>
        </w:rPr>
        <w:tab/>
        <w:t>10.55.603, ARM</w:t>
      </w:r>
      <w:r w:rsidRPr="00971E39">
        <w:rPr>
          <w:rFonts w:asciiTheme="majorHAnsi" w:hAnsiTheme="majorHAnsi"/>
          <w:spacing w:val="-2"/>
          <w:sz w:val="20"/>
        </w:rPr>
        <w:tab/>
      </w:r>
      <w:r w:rsidRPr="00971E39">
        <w:rPr>
          <w:rFonts w:asciiTheme="majorHAnsi" w:hAnsiTheme="majorHAnsi"/>
          <w:spacing w:val="-2"/>
          <w:sz w:val="20"/>
        </w:rPr>
        <w:tab/>
        <w:t>Basic Instructional Program</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ab/>
      </w:r>
      <w:r w:rsidRPr="00971E39">
        <w:rPr>
          <w:rFonts w:asciiTheme="majorHAnsi" w:hAnsiTheme="majorHAnsi"/>
          <w:spacing w:val="-2"/>
          <w:sz w:val="20"/>
        </w:rPr>
        <w:tab/>
      </w:r>
      <w:r w:rsidRPr="00971E39">
        <w:rPr>
          <w:rFonts w:asciiTheme="majorHAnsi" w:hAnsiTheme="majorHAnsi"/>
          <w:spacing w:val="-2"/>
          <w:sz w:val="20"/>
        </w:rPr>
        <w:tab/>
        <w:t>10.56.101, ARM</w:t>
      </w:r>
      <w:r w:rsidRPr="00971E39">
        <w:rPr>
          <w:rFonts w:asciiTheme="majorHAnsi" w:hAnsiTheme="majorHAnsi"/>
          <w:spacing w:val="-2"/>
          <w:sz w:val="20"/>
        </w:rPr>
        <w:tab/>
      </w:r>
      <w:r w:rsidRPr="00971E39">
        <w:rPr>
          <w:rFonts w:asciiTheme="majorHAnsi" w:hAnsiTheme="majorHAnsi"/>
          <w:spacing w:val="-2"/>
          <w:sz w:val="20"/>
        </w:rPr>
        <w:tab/>
        <w:t>Student Assessment</w:t>
      </w:r>
    </w:p>
    <w:p w:rsidR="00971E39" w:rsidRPr="00971E39" w:rsidRDefault="00971E39" w:rsidP="00BA3913">
      <w:pPr>
        <w:suppressAutoHyphens/>
        <w:spacing w:line="240" w:lineRule="atLeast"/>
        <w:jc w:val="both"/>
        <w:rPr>
          <w:rFonts w:asciiTheme="majorHAnsi" w:hAnsiTheme="majorHAnsi"/>
          <w:spacing w:val="-2"/>
          <w:sz w:val="20"/>
        </w:rPr>
      </w:pPr>
      <w:bookmarkStart w:id="0" w:name="_GoBack"/>
      <w:bookmarkEnd w:id="0"/>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u w:val="single"/>
        </w:rPr>
        <w:t>Policy History:</w:t>
      </w:r>
    </w:p>
    <w:p w:rsidR="00971E39"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Adopted on:</w:t>
      </w:r>
    </w:p>
    <w:p w:rsidR="008529EA" w:rsidRPr="00971E39" w:rsidRDefault="00971E39" w:rsidP="00BA3913">
      <w:pPr>
        <w:suppressAutoHyphens/>
        <w:spacing w:line="240" w:lineRule="atLeast"/>
        <w:jc w:val="both"/>
        <w:rPr>
          <w:rFonts w:asciiTheme="majorHAnsi" w:hAnsiTheme="majorHAnsi"/>
          <w:spacing w:val="-2"/>
          <w:sz w:val="20"/>
        </w:rPr>
      </w:pPr>
      <w:r w:rsidRPr="00971E39">
        <w:rPr>
          <w:rFonts w:asciiTheme="majorHAnsi" w:hAnsiTheme="majorHAnsi"/>
          <w:spacing w:val="-2"/>
          <w:sz w:val="20"/>
        </w:rPr>
        <w:t>Revised on:</w:t>
      </w:r>
    </w:p>
    <w:sectPr w:rsidR="008529EA" w:rsidRPr="00971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2703"/>
    <w:multiLevelType w:val="hybridMultilevel"/>
    <w:tmpl w:val="D8329A9E"/>
    <w:lvl w:ilvl="0" w:tplc="F5183B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017C52"/>
    <w:multiLevelType w:val="hybridMultilevel"/>
    <w:tmpl w:val="6900A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39"/>
    <w:rsid w:val="00140D55"/>
    <w:rsid w:val="00293F9C"/>
    <w:rsid w:val="006B6857"/>
    <w:rsid w:val="008D0D59"/>
    <w:rsid w:val="00971E39"/>
    <w:rsid w:val="00BA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3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3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4</cp:revision>
  <dcterms:created xsi:type="dcterms:W3CDTF">2019-06-19T21:08:00Z</dcterms:created>
  <dcterms:modified xsi:type="dcterms:W3CDTF">2019-07-27T22:48:00Z</dcterms:modified>
</cp:coreProperties>
</file>