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B3" w:rsidRPr="00235EB3" w:rsidRDefault="00235EB3" w:rsidP="00235EB3">
      <w:pPr>
        <w:tabs>
          <w:tab w:val="right" w:pos="9360"/>
        </w:tabs>
        <w:suppressAutoHyphens/>
        <w:spacing w:line="240" w:lineRule="atLeast"/>
        <w:jc w:val="both"/>
        <w:rPr>
          <w:rFonts w:asciiTheme="majorHAnsi" w:hAnsiTheme="majorHAnsi"/>
          <w:b/>
          <w:spacing w:val="-2"/>
          <w:sz w:val="20"/>
        </w:rPr>
      </w:pPr>
      <w:r w:rsidRPr="00235EB3">
        <w:rPr>
          <w:rFonts w:asciiTheme="majorHAnsi" w:hAnsiTheme="majorHAnsi"/>
          <w:b/>
          <w:spacing w:val="-2"/>
          <w:sz w:val="20"/>
        </w:rPr>
        <w:t>INSTRUCTION</w:t>
      </w:r>
      <w:bookmarkStart w:id="0" w:name="_GoBack"/>
      <w:bookmarkEnd w:id="0"/>
      <w:r w:rsidRPr="00235EB3">
        <w:rPr>
          <w:rFonts w:asciiTheme="majorHAnsi" w:hAnsiTheme="majorHAnsi"/>
          <w:b/>
          <w:spacing w:val="-2"/>
          <w:sz w:val="20"/>
        </w:rPr>
        <w:tab/>
        <w:t>2150</w:t>
      </w:r>
    </w:p>
    <w:p w:rsidR="00235EB3" w:rsidRPr="00235EB3" w:rsidRDefault="00235EB3" w:rsidP="00CB67FB">
      <w:pPr>
        <w:suppressAutoHyphens/>
        <w:spacing w:line="240" w:lineRule="atLeast"/>
        <w:jc w:val="both"/>
        <w:rPr>
          <w:rFonts w:asciiTheme="majorHAnsi" w:hAnsiTheme="majorHAnsi"/>
          <w:b/>
          <w:spacing w:val="-2"/>
          <w:sz w:val="20"/>
        </w:rPr>
      </w:pPr>
    </w:p>
    <w:p w:rsidR="00235EB3" w:rsidRPr="00235EB3" w:rsidRDefault="00235EB3" w:rsidP="00CB67FB">
      <w:pPr>
        <w:suppressAutoHyphens/>
        <w:spacing w:line="240" w:lineRule="atLeast"/>
        <w:jc w:val="both"/>
        <w:rPr>
          <w:rFonts w:asciiTheme="majorHAnsi" w:hAnsiTheme="majorHAnsi"/>
          <w:b/>
          <w:spacing w:val="-2"/>
          <w:sz w:val="20"/>
        </w:rPr>
      </w:pPr>
      <w:r w:rsidRPr="00235EB3">
        <w:rPr>
          <w:rFonts w:asciiTheme="majorHAnsi" w:hAnsiTheme="majorHAnsi"/>
          <w:b/>
          <w:spacing w:val="-2"/>
          <w:sz w:val="20"/>
          <w:u w:val="single"/>
        </w:rPr>
        <w:t>Co-Curricular Program</w:t>
      </w:r>
    </w:p>
    <w:p w:rsidR="00235EB3" w:rsidRPr="00235EB3" w:rsidRDefault="00235EB3" w:rsidP="00CB67FB">
      <w:pPr>
        <w:suppressAutoHyphens/>
        <w:spacing w:line="240" w:lineRule="atLeast"/>
        <w:jc w:val="both"/>
        <w:rPr>
          <w:rFonts w:asciiTheme="majorHAnsi" w:hAnsiTheme="majorHAnsi"/>
          <w:b/>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r w:rsidRPr="00235EB3">
        <w:rPr>
          <w:rFonts w:asciiTheme="majorHAnsi" w:hAnsiTheme="majorHAnsi"/>
          <w:spacing w:val="-2"/>
          <w:sz w:val="20"/>
        </w:rPr>
        <w:t>The District recognizes that a co-curricular program is an integral part of school life.  As such, this broad-based program should contribute to the intellectual, physical, social and emotional growth of students.   When an activity is conducted using the name of a class, organization or school, it shall be coordinated under the general supervision of appropriate school officials with the students' interest and safety of paramount concern.</w:t>
      </w: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r w:rsidRPr="00235EB3">
        <w:rPr>
          <w:rFonts w:asciiTheme="majorHAnsi" w:hAnsiTheme="majorHAnsi"/>
          <w:spacing w:val="-2"/>
          <w:sz w:val="20"/>
        </w:rPr>
        <w:t>Students shall be eligible to become involved in approved activities without regard to race, creed, gender, marital status, national origin or handicapping conditions.  Activity groups shall not be secretive in nature.</w:t>
      </w: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r w:rsidRPr="00235EB3">
        <w:rPr>
          <w:rFonts w:asciiTheme="majorHAnsi" w:hAnsiTheme="majorHAnsi"/>
          <w:spacing w:val="-2"/>
          <w:sz w:val="20"/>
        </w:rPr>
        <w:t>The criteria for selecting co-curricular activities are:</w:t>
      </w:r>
    </w:p>
    <w:p w:rsidR="00235EB3" w:rsidRPr="00235EB3" w:rsidRDefault="00235EB3" w:rsidP="00CB67FB">
      <w:pPr>
        <w:suppressAutoHyphens/>
        <w:spacing w:line="240" w:lineRule="atLeast"/>
        <w:jc w:val="both"/>
        <w:rPr>
          <w:rFonts w:asciiTheme="majorHAnsi" w:hAnsiTheme="majorHAnsi"/>
          <w:spacing w:val="-2"/>
          <w:sz w:val="20"/>
        </w:rPr>
      </w:pPr>
    </w:p>
    <w:p w:rsidR="00235EB3" w:rsidRPr="007579DE" w:rsidRDefault="00235EB3" w:rsidP="00CB67FB">
      <w:pPr>
        <w:pStyle w:val="ListParagraph"/>
        <w:numPr>
          <w:ilvl w:val="0"/>
          <w:numId w:val="2"/>
        </w:numPr>
        <w:suppressAutoHyphens/>
        <w:spacing w:line="240" w:lineRule="atLeast"/>
        <w:jc w:val="both"/>
        <w:rPr>
          <w:rFonts w:asciiTheme="majorHAnsi" w:hAnsiTheme="majorHAnsi"/>
          <w:spacing w:val="-2"/>
          <w:sz w:val="20"/>
        </w:rPr>
      </w:pPr>
      <w:r w:rsidRPr="007579DE">
        <w:rPr>
          <w:rFonts w:asciiTheme="majorHAnsi" w:hAnsiTheme="majorHAnsi"/>
          <w:spacing w:val="-2"/>
          <w:sz w:val="20"/>
        </w:rPr>
        <w:t>The activity should provide learning experiences in the intellectual, physical or social area.</w:t>
      </w:r>
    </w:p>
    <w:p w:rsidR="00235EB3" w:rsidRPr="00235EB3" w:rsidRDefault="00235EB3" w:rsidP="00CB67FB">
      <w:pPr>
        <w:suppressAutoHyphens/>
        <w:spacing w:line="240" w:lineRule="atLeast"/>
        <w:jc w:val="both"/>
        <w:rPr>
          <w:rFonts w:asciiTheme="majorHAnsi" w:hAnsiTheme="majorHAnsi"/>
          <w:spacing w:val="-2"/>
          <w:sz w:val="20"/>
        </w:rPr>
      </w:pPr>
    </w:p>
    <w:p w:rsidR="00235EB3" w:rsidRPr="007579DE" w:rsidRDefault="00235EB3" w:rsidP="00CB67FB">
      <w:pPr>
        <w:pStyle w:val="ListParagraph"/>
        <w:numPr>
          <w:ilvl w:val="0"/>
          <w:numId w:val="2"/>
        </w:numPr>
        <w:suppressAutoHyphens/>
        <w:spacing w:line="240" w:lineRule="atLeast"/>
        <w:jc w:val="both"/>
        <w:rPr>
          <w:rFonts w:asciiTheme="majorHAnsi" w:hAnsiTheme="majorHAnsi"/>
          <w:spacing w:val="-2"/>
          <w:sz w:val="20"/>
        </w:rPr>
      </w:pPr>
      <w:r w:rsidRPr="007579DE">
        <w:rPr>
          <w:rFonts w:asciiTheme="majorHAnsi" w:hAnsiTheme="majorHAnsi"/>
          <w:spacing w:val="-2"/>
          <w:sz w:val="20"/>
        </w:rPr>
        <w:t>The activity should be acceptable to the community.</w:t>
      </w:r>
    </w:p>
    <w:p w:rsidR="00235EB3" w:rsidRPr="00235EB3" w:rsidRDefault="00235EB3" w:rsidP="00CB67FB">
      <w:pPr>
        <w:suppressAutoHyphens/>
        <w:spacing w:line="240" w:lineRule="atLeast"/>
        <w:jc w:val="both"/>
        <w:rPr>
          <w:rFonts w:asciiTheme="majorHAnsi" w:hAnsiTheme="majorHAnsi"/>
          <w:spacing w:val="-2"/>
          <w:sz w:val="20"/>
        </w:rPr>
      </w:pPr>
    </w:p>
    <w:p w:rsidR="00235EB3" w:rsidRPr="007579DE" w:rsidRDefault="00235EB3" w:rsidP="00CB67FB">
      <w:pPr>
        <w:pStyle w:val="ListParagraph"/>
        <w:numPr>
          <w:ilvl w:val="0"/>
          <w:numId w:val="2"/>
        </w:numPr>
        <w:suppressAutoHyphens/>
        <w:spacing w:line="240" w:lineRule="atLeast"/>
        <w:jc w:val="both"/>
        <w:rPr>
          <w:rFonts w:asciiTheme="majorHAnsi" w:hAnsiTheme="majorHAnsi"/>
          <w:spacing w:val="-2"/>
          <w:sz w:val="20"/>
        </w:rPr>
      </w:pPr>
      <w:r w:rsidRPr="007579DE">
        <w:rPr>
          <w:rFonts w:asciiTheme="majorHAnsi" w:hAnsiTheme="majorHAnsi"/>
          <w:spacing w:val="-2"/>
          <w:sz w:val="20"/>
        </w:rPr>
        <w:t>The activity should have carry-over values into lifetime and/or leisure activi</w:t>
      </w:r>
      <w:r w:rsidRPr="007579DE">
        <w:rPr>
          <w:rFonts w:asciiTheme="majorHAnsi" w:hAnsiTheme="majorHAnsi"/>
          <w:spacing w:val="-2"/>
          <w:sz w:val="20"/>
        </w:rPr>
        <w:softHyphen/>
        <w:t>ties.</w:t>
      </w:r>
    </w:p>
    <w:p w:rsidR="00235EB3" w:rsidRPr="00235EB3" w:rsidRDefault="00235EB3" w:rsidP="00CB67FB">
      <w:pPr>
        <w:suppressAutoHyphens/>
        <w:spacing w:line="240" w:lineRule="atLeast"/>
        <w:jc w:val="both"/>
        <w:rPr>
          <w:rFonts w:asciiTheme="majorHAnsi" w:hAnsiTheme="majorHAnsi"/>
          <w:spacing w:val="-2"/>
          <w:sz w:val="20"/>
        </w:rPr>
      </w:pPr>
    </w:p>
    <w:p w:rsidR="00235EB3" w:rsidRPr="007579DE" w:rsidRDefault="00235EB3" w:rsidP="00CB67FB">
      <w:pPr>
        <w:pStyle w:val="ListParagraph"/>
        <w:numPr>
          <w:ilvl w:val="0"/>
          <w:numId w:val="2"/>
        </w:numPr>
        <w:suppressAutoHyphens/>
        <w:spacing w:line="240" w:lineRule="atLeast"/>
        <w:jc w:val="both"/>
        <w:rPr>
          <w:rFonts w:asciiTheme="majorHAnsi" w:hAnsiTheme="majorHAnsi"/>
          <w:spacing w:val="-2"/>
          <w:sz w:val="20"/>
        </w:rPr>
      </w:pPr>
      <w:r w:rsidRPr="007579DE">
        <w:rPr>
          <w:rFonts w:asciiTheme="majorHAnsi" w:hAnsiTheme="majorHAnsi"/>
          <w:spacing w:val="-2"/>
          <w:sz w:val="20"/>
        </w:rPr>
        <w:t>The cost of the activity must not be prohibitive to student or District.</w:t>
      </w:r>
    </w:p>
    <w:p w:rsidR="00235EB3" w:rsidRPr="00235EB3" w:rsidRDefault="00235EB3" w:rsidP="00CB67FB">
      <w:pPr>
        <w:suppressAutoHyphens/>
        <w:spacing w:line="240" w:lineRule="atLeast"/>
        <w:jc w:val="both"/>
        <w:rPr>
          <w:rFonts w:asciiTheme="majorHAnsi" w:hAnsiTheme="majorHAnsi"/>
          <w:spacing w:val="-2"/>
          <w:sz w:val="20"/>
        </w:rPr>
      </w:pPr>
    </w:p>
    <w:p w:rsidR="00235EB3" w:rsidRPr="007579DE" w:rsidRDefault="00235EB3" w:rsidP="00CB67FB">
      <w:pPr>
        <w:pStyle w:val="ListParagraph"/>
        <w:numPr>
          <w:ilvl w:val="0"/>
          <w:numId w:val="2"/>
        </w:numPr>
        <w:suppressAutoHyphens/>
        <w:spacing w:line="240" w:lineRule="atLeast"/>
        <w:jc w:val="both"/>
        <w:rPr>
          <w:rFonts w:asciiTheme="majorHAnsi" w:hAnsiTheme="majorHAnsi"/>
          <w:spacing w:val="-2"/>
          <w:sz w:val="20"/>
        </w:rPr>
      </w:pPr>
      <w:r w:rsidRPr="007579DE">
        <w:rPr>
          <w:rFonts w:asciiTheme="majorHAnsi" w:hAnsiTheme="majorHAnsi"/>
          <w:spacing w:val="-2"/>
          <w:sz w:val="20"/>
        </w:rPr>
        <w:t>The emphasis should be on individual skill developed at different levels of performance;</w:t>
      </w:r>
    </w:p>
    <w:p w:rsidR="00235EB3" w:rsidRPr="00235EB3" w:rsidRDefault="00235EB3" w:rsidP="00CB67FB">
      <w:pPr>
        <w:suppressAutoHyphens/>
        <w:spacing w:line="240" w:lineRule="atLeast"/>
        <w:jc w:val="both"/>
        <w:rPr>
          <w:rFonts w:asciiTheme="majorHAnsi" w:hAnsiTheme="majorHAnsi"/>
          <w:spacing w:val="-2"/>
          <w:sz w:val="20"/>
        </w:rPr>
      </w:pPr>
    </w:p>
    <w:p w:rsidR="00235EB3" w:rsidRPr="007579DE" w:rsidRDefault="00235EB3" w:rsidP="00CB67FB">
      <w:pPr>
        <w:pStyle w:val="ListParagraph"/>
        <w:numPr>
          <w:ilvl w:val="0"/>
          <w:numId w:val="2"/>
        </w:numPr>
        <w:suppressAutoHyphens/>
        <w:spacing w:line="240" w:lineRule="atLeast"/>
        <w:jc w:val="both"/>
        <w:rPr>
          <w:rFonts w:asciiTheme="majorHAnsi" w:hAnsiTheme="majorHAnsi"/>
          <w:spacing w:val="-2"/>
          <w:sz w:val="20"/>
        </w:rPr>
      </w:pPr>
      <w:r w:rsidRPr="007579DE">
        <w:rPr>
          <w:rFonts w:asciiTheme="majorHAnsi" w:hAnsiTheme="majorHAnsi"/>
          <w:spacing w:val="-2"/>
          <w:sz w:val="20"/>
        </w:rPr>
        <w:t>Sportsmanship attitudes shall be emphasized through game experiences; and,</w:t>
      </w:r>
    </w:p>
    <w:p w:rsidR="00235EB3" w:rsidRPr="00235EB3" w:rsidRDefault="00235EB3" w:rsidP="00CB67FB">
      <w:pPr>
        <w:suppressAutoHyphens/>
        <w:spacing w:line="240" w:lineRule="atLeast"/>
        <w:jc w:val="both"/>
        <w:rPr>
          <w:rFonts w:asciiTheme="majorHAnsi" w:hAnsiTheme="majorHAnsi"/>
          <w:spacing w:val="-2"/>
          <w:sz w:val="20"/>
        </w:rPr>
      </w:pPr>
    </w:p>
    <w:p w:rsidR="00235EB3" w:rsidRPr="007579DE" w:rsidRDefault="00235EB3" w:rsidP="00CB67FB">
      <w:pPr>
        <w:pStyle w:val="ListParagraph"/>
        <w:numPr>
          <w:ilvl w:val="0"/>
          <w:numId w:val="2"/>
        </w:numPr>
        <w:suppressAutoHyphens/>
        <w:spacing w:line="240" w:lineRule="atLeast"/>
        <w:jc w:val="both"/>
        <w:rPr>
          <w:rFonts w:asciiTheme="majorHAnsi" w:hAnsiTheme="majorHAnsi"/>
          <w:spacing w:val="-2"/>
          <w:sz w:val="20"/>
        </w:rPr>
      </w:pPr>
      <w:r w:rsidRPr="007579DE">
        <w:rPr>
          <w:rFonts w:asciiTheme="majorHAnsi" w:hAnsiTheme="majorHAnsi"/>
          <w:spacing w:val="-2"/>
          <w:sz w:val="20"/>
        </w:rPr>
        <w:t>Any competitive drive should be allowed to evolve from within the child rather than from external forces by keeping competition "low key".</w:t>
      </w: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r w:rsidRPr="00235EB3">
        <w:rPr>
          <w:rFonts w:asciiTheme="majorHAnsi" w:hAnsiTheme="majorHAnsi"/>
          <w:spacing w:val="-2"/>
          <w:sz w:val="20"/>
        </w:rPr>
        <w:t>At this level, activities will emphasize the maximum participation by all students.</w:t>
      </w: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p>
    <w:p w:rsidR="00235EB3" w:rsidRPr="00235EB3" w:rsidRDefault="00235EB3" w:rsidP="00CB67FB">
      <w:pPr>
        <w:suppressAutoHyphens/>
        <w:spacing w:line="240" w:lineRule="atLeast"/>
        <w:jc w:val="both"/>
        <w:rPr>
          <w:rFonts w:asciiTheme="majorHAnsi" w:hAnsiTheme="majorHAnsi"/>
          <w:spacing w:val="-2"/>
          <w:sz w:val="20"/>
        </w:rPr>
      </w:pPr>
      <w:r w:rsidRPr="007579DE">
        <w:rPr>
          <w:rFonts w:asciiTheme="majorHAnsi" w:hAnsiTheme="majorHAnsi"/>
          <w:b/>
          <w:spacing w:val="-2"/>
          <w:sz w:val="20"/>
        </w:rPr>
        <w:t>Legal Reference:</w:t>
      </w:r>
      <w:r>
        <w:rPr>
          <w:rFonts w:asciiTheme="majorHAnsi" w:hAnsiTheme="majorHAnsi"/>
          <w:spacing w:val="-2"/>
          <w:sz w:val="20"/>
        </w:rPr>
        <w:tab/>
      </w:r>
      <w:r w:rsidRPr="00235EB3">
        <w:rPr>
          <w:rFonts w:asciiTheme="majorHAnsi" w:hAnsiTheme="majorHAnsi"/>
          <w:spacing w:val="-2"/>
          <w:sz w:val="20"/>
        </w:rPr>
        <w:tab/>
        <w:t>§ 49-2-307, MCA</w:t>
      </w:r>
      <w:r w:rsidRPr="00235EB3">
        <w:rPr>
          <w:rFonts w:asciiTheme="majorHAnsi" w:hAnsiTheme="majorHAnsi"/>
          <w:spacing w:val="-2"/>
          <w:sz w:val="20"/>
        </w:rPr>
        <w:tab/>
      </w:r>
      <w:r>
        <w:rPr>
          <w:rFonts w:asciiTheme="majorHAnsi" w:hAnsiTheme="majorHAnsi"/>
          <w:spacing w:val="-2"/>
          <w:sz w:val="20"/>
        </w:rPr>
        <w:tab/>
      </w:r>
      <w:r w:rsidRPr="00235EB3">
        <w:rPr>
          <w:rFonts w:asciiTheme="majorHAnsi" w:hAnsiTheme="majorHAnsi"/>
          <w:spacing w:val="-2"/>
          <w:sz w:val="20"/>
        </w:rPr>
        <w:t>Discrimination in education</w:t>
      </w:r>
    </w:p>
    <w:p w:rsidR="00235EB3" w:rsidRPr="00235EB3" w:rsidRDefault="00235EB3" w:rsidP="00CB67FB">
      <w:pPr>
        <w:suppressAutoHyphens/>
        <w:spacing w:line="240" w:lineRule="atLeast"/>
        <w:jc w:val="both"/>
        <w:rPr>
          <w:rFonts w:asciiTheme="majorHAnsi" w:hAnsiTheme="majorHAnsi"/>
          <w:spacing w:val="-2"/>
          <w:sz w:val="20"/>
          <w:u w:val="single"/>
        </w:rPr>
      </w:pPr>
    </w:p>
    <w:p w:rsidR="00235EB3" w:rsidRPr="00235EB3" w:rsidRDefault="00235EB3" w:rsidP="00CB67FB">
      <w:pPr>
        <w:suppressAutoHyphens/>
        <w:spacing w:line="240" w:lineRule="atLeast"/>
        <w:jc w:val="both"/>
        <w:rPr>
          <w:rFonts w:asciiTheme="majorHAnsi" w:hAnsiTheme="majorHAnsi"/>
          <w:spacing w:val="-2"/>
          <w:sz w:val="20"/>
          <w:u w:val="single"/>
        </w:rPr>
      </w:pPr>
    </w:p>
    <w:p w:rsidR="00235EB3" w:rsidRPr="00235EB3" w:rsidRDefault="00235EB3" w:rsidP="00CB67FB">
      <w:pPr>
        <w:suppressAutoHyphens/>
        <w:spacing w:line="240" w:lineRule="atLeast"/>
        <w:jc w:val="both"/>
        <w:rPr>
          <w:rFonts w:asciiTheme="majorHAnsi" w:hAnsiTheme="majorHAnsi"/>
          <w:spacing w:val="-2"/>
          <w:sz w:val="20"/>
        </w:rPr>
      </w:pPr>
      <w:r w:rsidRPr="00235EB3">
        <w:rPr>
          <w:rFonts w:asciiTheme="majorHAnsi" w:hAnsiTheme="majorHAnsi"/>
          <w:spacing w:val="-2"/>
          <w:sz w:val="20"/>
          <w:u w:val="single"/>
        </w:rPr>
        <w:t>Policy History:</w:t>
      </w:r>
    </w:p>
    <w:p w:rsidR="00235EB3" w:rsidRPr="00235EB3" w:rsidRDefault="00235EB3" w:rsidP="00CB67FB">
      <w:pPr>
        <w:suppressAutoHyphens/>
        <w:spacing w:line="240" w:lineRule="atLeast"/>
        <w:jc w:val="both"/>
        <w:rPr>
          <w:rFonts w:asciiTheme="majorHAnsi" w:hAnsiTheme="majorHAnsi"/>
          <w:spacing w:val="-2"/>
          <w:sz w:val="20"/>
        </w:rPr>
      </w:pPr>
      <w:r w:rsidRPr="00235EB3">
        <w:rPr>
          <w:rFonts w:asciiTheme="majorHAnsi" w:hAnsiTheme="majorHAnsi"/>
          <w:spacing w:val="-2"/>
          <w:sz w:val="20"/>
        </w:rPr>
        <w:t>Adopted on:</w:t>
      </w:r>
    </w:p>
    <w:p w:rsidR="008529EA" w:rsidRPr="00235EB3" w:rsidRDefault="00235EB3" w:rsidP="00CB67FB">
      <w:pPr>
        <w:suppressAutoHyphens/>
        <w:spacing w:line="240" w:lineRule="atLeast"/>
        <w:jc w:val="both"/>
        <w:rPr>
          <w:rFonts w:asciiTheme="majorHAnsi" w:hAnsiTheme="majorHAnsi"/>
          <w:spacing w:val="-2"/>
          <w:sz w:val="20"/>
        </w:rPr>
      </w:pPr>
      <w:r w:rsidRPr="00235EB3">
        <w:rPr>
          <w:rFonts w:asciiTheme="majorHAnsi" w:hAnsiTheme="majorHAnsi"/>
          <w:spacing w:val="-2"/>
          <w:sz w:val="20"/>
        </w:rPr>
        <w:t>Revised on:</w:t>
      </w:r>
    </w:p>
    <w:sectPr w:rsidR="008529EA" w:rsidRPr="00235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73F08"/>
    <w:multiLevelType w:val="hybridMultilevel"/>
    <w:tmpl w:val="C914A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7D010A"/>
    <w:multiLevelType w:val="hybridMultilevel"/>
    <w:tmpl w:val="45AC310C"/>
    <w:lvl w:ilvl="0" w:tplc="CBB2FA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B3"/>
    <w:rsid w:val="00140D55"/>
    <w:rsid w:val="00235EB3"/>
    <w:rsid w:val="00293F9C"/>
    <w:rsid w:val="007579DE"/>
    <w:rsid w:val="00CB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B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9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B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dc:creator>
  <cp:lastModifiedBy>Schenk</cp:lastModifiedBy>
  <cp:revision>3</cp:revision>
  <dcterms:created xsi:type="dcterms:W3CDTF">2019-06-20T16:39:00Z</dcterms:created>
  <dcterms:modified xsi:type="dcterms:W3CDTF">2019-07-27T22:50:00Z</dcterms:modified>
</cp:coreProperties>
</file>